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rPr>
          <w:rFonts w:eastAsia="仿宋"/>
          <w:b/>
          <w:bCs/>
          <w:color w:val="auto"/>
          <w:highlight w:val="none"/>
        </w:rPr>
      </w:pPr>
      <w:r>
        <w:rPr>
          <w:rFonts w:eastAsia="仿宋"/>
          <w:b/>
          <w:bCs/>
          <w:color w:val="auto"/>
          <w:highlight w:val="none"/>
        </w:rPr>
        <w:t>区域环评+环境标准改革区域</w:t>
      </w:r>
    </w:p>
    <w:p>
      <w:pPr>
        <w:shd w:val="clear"/>
        <w:jc w:val="center"/>
        <w:rPr>
          <w:rFonts w:eastAsia="仿宋_GB2312"/>
          <w:b/>
          <w:color w:val="auto"/>
          <w:sz w:val="68"/>
          <w:szCs w:val="72"/>
          <w:highlight w:val="none"/>
        </w:rPr>
      </w:pPr>
    </w:p>
    <w:p>
      <w:pPr>
        <w:shd w:val="clear"/>
        <w:jc w:val="center"/>
        <w:rPr>
          <w:rFonts w:eastAsia="仿宋_GB2312"/>
          <w:b/>
          <w:color w:val="auto"/>
          <w:sz w:val="48"/>
          <w:szCs w:val="52"/>
          <w:highlight w:val="none"/>
        </w:rPr>
      </w:pPr>
      <w:r>
        <w:rPr>
          <w:rFonts w:eastAsia="仿宋_GB2312"/>
          <w:b/>
          <w:color w:val="auto"/>
          <w:sz w:val="68"/>
          <w:szCs w:val="72"/>
          <w:highlight w:val="none"/>
        </w:rPr>
        <w:t>建设项目环境影响</w:t>
      </w:r>
      <w:r>
        <w:rPr>
          <w:rFonts w:hint="eastAsia" w:eastAsia="仿宋_GB2312"/>
          <w:b/>
          <w:color w:val="auto"/>
          <w:sz w:val="68"/>
          <w:szCs w:val="72"/>
          <w:highlight w:val="none"/>
        </w:rPr>
        <w:t>登记</w:t>
      </w:r>
      <w:r>
        <w:rPr>
          <w:rFonts w:eastAsia="仿宋_GB2312"/>
          <w:b/>
          <w:color w:val="auto"/>
          <w:sz w:val="68"/>
          <w:szCs w:val="72"/>
          <w:highlight w:val="none"/>
        </w:rPr>
        <w:t>表</w:t>
      </w:r>
    </w:p>
    <w:p>
      <w:pPr>
        <w:shd w:val="clear"/>
        <w:jc w:val="center"/>
        <w:rPr>
          <w:color w:val="auto"/>
          <w:highlight w:val="none"/>
        </w:rPr>
      </w:pPr>
    </w:p>
    <w:p>
      <w:pPr>
        <w:shd w:val="clear"/>
        <w:jc w:val="center"/>
        <w:rPr>
          <w:color w:val="auto"/>
          <w:highlight w:val="none"/>
        </w:rPr>
      </w:pPr>
    </w:p>
    <w:p>
      <w:pPr>
        <w:shd w:val="clear"/>
        <w:rPr>
          <w:color w:val="auto"/>
          <w:highlight w:val="none"/>
        </w:rPr>
      </w:pPr>
    </w:p>
    <w:p>
      <w:pPr>
        <w:shd w:val="clear"/>
        <w:rPr>
          <w:color w:val="auto"/>
          <w:highlight w:val="none"/>
        </w:rPr>
      </w:pPr>
    </w:p>
    <w:p>
      <w:pPr>
        <w:shd w:val="clear"/>
        <w:rPr>
          <w:color w:val="auto"/>
          <w:highlight w:val="none"/>
        </w:rPr>
      </w:pPr>
    </w:p>
    <w:p>
      <w:pPr>
        <w:shd w:val="clear"/>
        <w:rPr>
          <w:color w:val="auto"/>
          <w:highlight w:val="none"/>
        </w:rPr>
      </w:pPr>
    </w:p>
    <w:p>
      <w:pPr>
        <w:pStyle w:val="2"/>
        <w:shd w:val="clear"/>
        <w:ind w:firstLine="480"/>
        <w:rPr>
          <w:rFonts w:ascii="Times New Roman" w:hAnsi="Times New Roman"/>
          <w:color w:val="auto"/>
          <w:highlight w:val="none"/>
        </w:rPr>
      </w:pPr>
    </w:p>
    <w:p>
      <w:pPr>
        <w:pStyle w:val="3"/>
        <w:shd w:val="clear"/>
        <w:ind w:firstLine="562"/>
        <w:rPr>
          <w:rFonts w:ascii="Times New Roman" w:hAnsi="Times New Roman"/>
          <w:color w:val="auto"/>
          <w:highlight w:val="none"/>
        </w:rPr>
      </w:pPr>
    </w:p>
    <w:p>
      <w:pPr>
        <w:pStyle w:val="3"/>
        <w:shd w:val="clear"/>
        <w:ind w:firstLine="562"/>
        <w:rPr>
          <w:rFonts w:ascii="Times New Roman" w:hAnsi="Times New Roman"/>
          <w:color w:val="auto"/>
          <w:highlight w:val="none"/>
        </w:rPr>
      </w:pPr>
    </w:p>
    <w:p>
      <w:pPr>
        <w:shd w:val="clear"/>
        <w:rPr>
          <w:color w:val="auto"/>
          <w:highlight w:val="none"/>
        </w:rPr>
      </w:pPr>
    </w:p>
    <w:p>
      <w:pPr>
        <w:shd w:val="clear"/>
        <w:rPr>
          <w:color w:val="auto"/>
          <w:highlight w:val="none"/>
        </w:rPr>
      </w:pPr>
    </w:p>
    <w:tbl>
      <w:tblPr>
        <w:tblStyle w:val="15"/>
        <w:tblW w:w="9374" w:type="dxa"/>
        <w:tblInd w:w="0" w:type="dxa"/>
        <w:tblBorders>
          <w:top w:val="none" w:color="auto" w:sz="0"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7423"/>
      </w:tblGrid>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1" w:type="dxa"/>
            <w:tcBorders>
              <w:top w:val="nil"/>
              <w:left w:val="nil"/>
              <w:bottom w:val="nil"/>
              <w:right w:val="nil"/>
            </w:tcBorders>
          </w:tcPr>
          <w:p>
            <w:pPr>
              <w:shd w:val="clear"/>
              <w:rPr>
                <w:rFonts w:ascii="Times New Roman" w:hAnsi="Times New Roman"/>
                <w:color w:val="auto"/>
                <w:highlight w:val="none"/>
              </w:rPr>
            </w:pPr>
            <w:r>
              <w:rPr>
                <w:rFonts w:ascii="Times New Roman" w:hAnsi="Times New Roman" w:eastAsia="仿宋_GB2312"/>
                <w:b/>
                <w:bCs/>
                <w:color w:val="auto"/>
                <w:sz w:val="36"/>
                <w:highlight w:val="none"/>
              </w:rPr>
              <w:t>项目名称:</w:t>
            </w:r>
          </w:p>
        </w:tc>
        <w:tc>
          <w:tcPr>
            <w:tcW w:w="7423" w:type="dxa"/>
            <w:tcBorders>
              <w:left w:val="nil"/>
            </w:tcBorders>
          </w:tcPr>
          <w:p>
            <w:pPr>
              <w:shd w:val="clear"/>
              <w:tabs>
                <w:tab w:val="left" w:pos="1418"/>
              </w:tabs>
              <w:spacing w:line="240" w:lineRule="auto"/>
              <w:ind w:firstLine="0" w:firstLineChars="0"/>
              <w:jc w:val="center"/>
              <w:rPr>
                <w:rFonts w:hint="default" w:ascii="Times New Roman" w:hAnsi="Times New Roman" w:eastAsia="仿宋" w:cs="Times New Roman"/>
                <w:b/>
                <w:bCs/>
                <w:color w:val="auto"/>
                <w:sz w:val="36"/>
                <w:szCs w:val="36"/>
                <w:highlight w:val="none"/>
                <w:lang w:val="en-US" w:eastAsia="zh-CN" w:bidi="ar-SA"/>
              </w:rPr>
            </w:pPr>
            <w:r>
              <w:rPr>
                <w:rFonts w:hint="default" w:ascii="Times New Roman" w:hAnsi="Times New Roman" w:eastAsia="仿宋" w:cs="Times New Roman"/>
                <w:b/>
                <w:bCs/>
                <w:color w:val="auto"/>
                <w:sz w:val="36"/>
                <w:szCs w:val="36"/>
                <w:highlight w:val="none"/>
                <w:lang w:val="en-US" w:eastAsia="zh-CN" w:bidi="ar-SA"/>
              </w:rPr>
              <w:t>浙江明士达股份有限公司</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1" w:type="dxa"/>
            <w:tcBorders>
              <w:top w:val="nil"/>
              <w:left w:val="nil"/>
              <w:bottom w:val="nil"/>
              <w:right w:val="nil"/>
            </w:tcBorders>
          </w:tcPr>
          <w:p>
            <w:pPr>
              <w:shd w:val="clear"/>
              <w:rPr>
                <w:rFonts w:ascii="Times New Roman" w:hAnsi="Times New Roman" w:eastAsia="仿宋_GB2312"/>
                <w:b/>
                <w:bCs/>
                <w:color w:val="auto"/>
                <w:sz w:val="36"/>
                <w:highlight w:val="none"/>
              </w:rPr>
            </w:pPr>
          </w:p>
        </w:tc>
        <w:tc>
          <w:tcPr>
            <w:tcW w:w="7423" w:type="dxa"/>
            <w:tcBorders>
              <w:left w:val="nil"/>
            </w:tcBorders>
          </w:tcPr>
          <w:p>
            <w:pPr>
              <w:shd w:val="clear"/>
              <w:tabs>
                <w:tab w:val="left" w:pos="1418"/>
              </w:tabs>
              <w:spacing w:line="240" w:lineRule="auto"/>
              <w:ind w:firstLine="0" w:firstLineChars="0"/>
              <w:jc w:val="center"/>
              <w:rPr>
                <w:rFonts w:hint="default" w:ascii="Times New Roman" w:hAnsi="Times New Roman" w:eastAsia="仿宋" w:cs="Times New Roman"/>
                <w:b/>
                <w:bCs/>
                <w:color w:val="auto"/>
                <w:sz w:val="36"/>
                <w:szCs w:val="36"/>
                <w:highlight w:val="none"/>
                <w:lang w:val="en-US" w:eastAsia="zh-CN" w:bidi="ar-SA"/>
              </w:rPr>
            </w:pPr>
            <w:r>
              <w:rPr>
                <w:rFonts w:hint="eastAsia" w:ascii="仿宋" w:hAnsi="仿宋" w:eastAsia="仿宋" w:cs="仿宋"/>
                <w:b/>
                <w:bCs/>
                <w:color w:val="auto"/>
                <w:sz w:val="36"/>
                <w:szCs w:val="36"/>
                <w:highlight w:val="none"/>
                <w:lang w:val="en-US" w:eastAsia="zh-CN" w:bidi="ar-SA"/>
              </w:rPr>
              <w:t>环保柔性材料及产品研发中心建设项目</w:t>
            </w:r>
          </w:p>
        </w:tc>
      </w:tr>
      <w:tr>
        <w:tblPrEx>
          <w:tblBorders>
            <w:top w:val="none" w:color="auto" w:sz="0"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51" w:type="dxa"/>
            <w:tcBorders>
              <w:top w:val="nil"/>
              <w:left w:val="nil"/>
              <w:bottom w:val="nil"/>
              <w:right w:val="nil"/>
            </w:tcBorders>
          </w:tcPr>
          <w:p>
            <w:pPr>
              <w:shd w:val="clear"/>
              <w:rPr>
                <w:rFonts w:ascii="Times New Roman" w:hAnsi="Times New Roman"/>
                <w:color w:val="auto"/>
                <w:highlight w:val="none"/>
              </w:rPr>
            </w:pPr>
            <w:r>
              <w:rPr>
                <w:rFonts w:ascii="Times New Roman" w:hAnsi="Times New Roman" w:eastAsia="仿宋_GB2312"/>
                <w:b/>
                <w:bCs/>
                <w:color w:val="auto"/>
                <w:sz w:val="36"/>
                <w:highlight w:val="none"/>
              </w:rPr>
              <w:t>建设单位:</w:t>
            </w:r>
          </w:p>
        </w:tc>
        <w:tc>
          <w:tcPr>
            <w:tcW w:w="7423" w:type="dxa"/>
            <w:tcBorders>
              <w:left w:val="nil"/>
            </w:tcBorders>
            <w:vAlign w:val="center"/>
          </w:tcPr>
          <w:p>
            <w:pPr>
              <w:shd w:val="clear"/>
              <w:spacing w:line="240" w:lineRule="auto"/>
              <w:ind w:firstLine="0" w:firstLineChars="0"/>
              <w:jc w:val="center"/>
              <w:rPr>
                <w:rFonts w:hint="default" w:ascii="Times New Roman" w:hAnsi="Times New Roman" w:eastAsia="宋体" w:cs="Times New Roman"/>
                <w:color w:val="auto"/>
                <w:sz w:val="24"/>
                <w:szCs w:val="24"/>
                <w:highlight w:val="none"/>
                <w:lang w:val="en-US" w:eastAsia="zh-CN" w:bidi="ar-SA"/>
              </w:rPr>
            </w:pPr>
            <w:r>
              <w:rPr>
                <w:rFonts w:hint="eastAsia" w:ascii="仿宋" w:hAnsi="仿宋" w:eastAsia="仿宋" w:cs="仿宋"/>
                <w:b/>
                <w:bCs/>
                <w:color w:val="auto"/>
                <w:sz w:val="36"/>
                <w:szCs w:val="36"/>
                <w:highlight w:val="none"/>
                <w:lang w:val="en-US" w:eastAsia="zh-CN" w:bidi="ar-SA"/>
              </w:rPr>
              <w:t>浙江明士达股份有限公司</w:t>
            </w:r>
          </w:p>
        </w:tc>
      </w:tr>
    </w:tbl>
    <w:p>
      <w:pPr>
        <w:shd w:val="clear"/>
        <w:rPr>
          <w:color w:val="auto"/>
          <w:highlight w:val="none"/>
        </w:rPr>
      </w:pPr>
    </w:p>
    <w:p>
      <w:pPr>
        <w:shd w:val="clear"/>
        <w:rPr>
          <w:color w:val="auto"/>
          <w:highlight w:val="none"/>
        </w:rPr>
      </w:pPr>
    </w:p>
    <w:p>
      <w:pPr>
        <w:shd w:val="clear"/>
        <w:spacing w:line="740" w:lineRule="exact"/>
        <w:rPr>
          <w:color w:val="auto"/>
          <w:highlight w:val="none"/>
        </w:rPr>
      </w:pPr>
    </w:p>
    <w:p>
      <w:pPr>
        <w:shd w:val="clear"/>
        <w:rPr>
          <w:b/>
          <w:color w:val="auto"/>
          <w:sz w:val="32"/>
          <w:szCs w:val="32"/>
          <w:highlight w:val="none"/>
        </w:rPr>
      </w:pPr>
    </w:p>
    <w:p>
      <w:pPr>
        <w:shd w:val="clear"/>
        <w:ind w:firstLine="643"/>
        <w:jc w:val="center"/>
        <w:rPr>
          <w:b/>
          <w:color w:val="auto"/>
          <w:sz w:val="32"/>
          <w:szCs w:val="32"/>
          <w:highlight w:val="none"/>
        </w:rPr>
      </w:pPr>
    </w:p>
    <w:p>
      <w:pPr>
        <w:shd w:val="clear"/>
        <w:spacing w:line="360" w:lineRule="auto"/>
        <w:jc w:val="center"/>
        <w:rPr>
          <w:b/>
          <w:color w:val="auto"/>
          <w:sz w:val="36"/>
          <w:szCs w:val="36"/>
          <w:highlight w:val="none"/>
        </w:rPr>
      </w:pPr>
      <w:r>
        <w:rPr>
          <w:bCs/>
          <w:color w:val="auto"/>
          <w:sz w:val="36"/>
          <w:szCs w:val="36"/>
          <w:highlight w:val="none"/>
        </w:rPr>
        <mc:AlternateContent>
          <mc:Choice Requires="wps">
            <w:drawing>
              <wp:anchor distT="0" distB="0" distL="114300" distR="114300" simplePos="0" relativeHeight="251705344" behindDoc="0" locked="0" layoutInCell="1" allowOverlap="1">
                <wp:simplePos x="0" y="0"/>
                <wp:positionH relativeFrom="column">
                  <wp:posOffset>200025</wp:posOffset>
                </wp:positionH>
                <wp:positionV relativeFrom="paragraph">
                  <wp:posOffset>360680</wp:posOffset>
                </wp:positionV>
                <wp:extent cx="5257800" cy="0"/>
                <wp:effectExtent l="33655" t="29210" r="33020" b="37465"/>
                <wp:wrapTight wrapText="bothSides">
                  <wp:wrapPolygon>
                    <wp:start x="-78" y="-2147483648"/>
                    <wp:lineTo x="-78" y="-2147483648"/>
                    <wp:lineTo x="21639" y="-2147483648"/>
                    <wp:lineTo x="21639" y="-2147483648"/>
                    <wp:lineTo x="-78" y="-2147483648"/>
                  </wp:wrapPolygon>
                </wp:wrapTight>
                <wp:docPr id="4" name="直接连接符 4"/>
                <wp:cNvGraphicFramePr/>
                <a:graphic xmlns:a="http://schemas.openxmlformats.org/drawingml/2006/main">
                  <a:graphicData uri="http://schemas.microsoft.com/office/word/2010/wordprocessingShape">
                    <wps:wsp>
                      <wps:cNvCnPr>
                        <a:cxnSpLocks noChangeShapeType="1"/>
                      </wps:cNvCnPr>
                      <wps:spPr bwMode="auto">
                        <a:xfrm>
                          <a:off x="0" y="0"/>
                          <a:ext cx="5257800" cy="0"/>
                        </a:xfrm>
                        <a:prstGeom prst="line">
                          <a:avLst/>
                        </a:prstGeom>
                        <a:noFill/>
                        <a:ln w="57150" cmpd="thickThin">
                          <a:solidFill>
                            <a:srgbClr val="000000"/>
                          </a:solidFill>
                          <a:round/>
                        </a:ln>
                      </wps:spPr>
                      <wps:bodyPr/>
                    </wps:wsp>
                  </a:graphicData>
                </a:graphic>
              </wp:anchor>
            </w:drawing>
          </mc:Choice>
          <mc:Fallback>
            <w:pict>
              <v:line id="_x0000_s1026" o:spid="_x0000_s1026" o:spt="20" style="position:absolute;left:0pt;margin-left:15.75pt;margin-top:28.4pt;height:0pt;width:414pt;mso-wrap-distance-left:9pt;mso-wrap-distance-right:9pt;z-index:251705344;mso-width-relative:page;mso-height-relative:page;" filled="f" stroked="t" coordsize="21600,21600" wrapcoords="-78 -2147483648 -78 -2147483648 21639 -2147483648 21639 -2147483648 -78 -2147483648" o:gfxdata="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PgI9w9MAAAAIAQAADwAAAAAAAAABACAAAAAiAAAA&#10;ZHJzL2Rvd25yZXYueG1sUEsBAhQAFAAAAAgAh07iQOmgXvXTAQAAbgMAAA4AAAAAAAAAAQAgAAAA&#10;IgEAAGRycy9lMm9Eb2MueG1sUEsFBgAAAAAGAAYAWQEAAGcFAAAAAA==&#10;">
                <v:fill on="f" focussize="0,0"/>
                <v:stroke weight="4.5pt" color="#000000" linestyle="thickThin" joinstyle="round"/>
                <v:imagedata o:title=""/>
                <o:lock v:ext="edit" aspectratio="f"/>
                <w10:wrap type="tight"/>
              </v:line>
            </w:pict>
          </mc:Fallback>
        </mc:AlternateContent>
      </w:r>
      <w:r>
        <w:rPr>
          <w:b/>
          <w:color w:val="auto"/>
          <w:sz w:val="36"/>
          <w:szCs w:val="36"/>
          <w:highlight w:val="none"/>
        </w:rPr>
        <w:t>杭州市环境保护有限公司</w:t>
      </w:r>
    </w:p>
    <w:p>
      <w:pPr>
        <w:shd w:val="clear"/>
        <w:jc w:val="center"/>
        <w:rPr>
          <w:b/>
          <w:color w:val="auto"/>
          <w:sz w:val="36"/>
          <w:szCs w:val="36"/>
          <w:highlight w:val="none"/>
        </w:rPr>
        <w:sectPr>
          <w:headerReference r:id="rId5" w:type="first"/>
          <w:footerReference r:id="rId8" w:type="first"/>
          <w:headerReference r:id="rId3" w:type="default"/>
          <w:footerReference r:id="rId6" w:type="default"/>
          <w:headerReference r:id="rId4" w:type="even"/>
          <w:footerReference r:id="rId7" w:type="even"/>
          <w:pgSz w:w="11906" w:h="16838"/>
          <w:pgMar w:top="1701" w:right="991" w:bottom="1701" w:left="1418" w:header="1191" w:footer="1191" w:gutter="0"/>
          <w:pgNumType w:fmt="decimal"/>
          <w:cols w:space="720" w:num="1"/>
          <w:titlePg/>
          <w:docGrid w:type="linesAndChars" w:linePitch="312" w:charSpace="0"/>
        </w:sectPr>
      </w:pPr>
      <w:r>
        <w:rPr>
          <w:rFonts w:hint="default" w:ascii="Times New Roman" w:hAnsi="Times New Roman" w:cs="Times New Roman"/>
          <w:b/>
          <w:color w:val="auto"/>
          <w:sz w:val="36"/>
          <w:szCs w:val="36"/>
          <w:highlight w:val="none"/>
        </w:rPr>
        <w:t>20</w:t>
      </w:r>
      <w:r>
        <w:rPr>
          <w:rFonts w:hint="eastAsia" w:ascii="Times New Roman" w:hAnsi="Times New Roman" w:cs="Times New Roman"/>
          <w:b/>
          <w:color w:val="auto"/>
          <w:sz w:val="36"/>
          <w:szCs w:val="36"/>
          <w:highlight w:val="none"/>
          <w:lang w:val="en-US" w:eastAsia="zh-CN"/>
        </w:rPr>
        <w:t>20</w:t>
      </w:r>
      <w:r>
        <w:rPr>
          <w:rFonts w:hint="default" w:ascii="Times New Roman" w:hAnsi="Times New Roman" w:cs="Times New Roman"/>
          <w:b/>
          <w:color w:val="auto"/>
          <w:sz w:val="36"/>
          <w:szCs w:val="36"/>
          <w:highlight w:val="none"/>
        </w:rPr>
        <w:t>年</w:t>
      </w:r>
      <w:r>
        <w:rPr>
          <w:rFonts w:hint="eastAsia" w:ascii="Times New Roman" w:hAnsi="Times New Roman" w:cs="Times New Roman"/>
          <w:b/>
          <w:color w:val="auto"/>
          <w:sz w:val="36"/>
          <w:szCs w:val="36"/>
          <w:highlight w:val="none"/>
          <w:lang w:val="en-US" w:eastAsia="zh-CN"/>
        </w:rPr>
        <w:t>9</w:t>
      </w:r>
      <w:r>
        <w:rPr>
          <w:rFonts w:hint="default" w:ascii="Times New Roman" w:hAnsi="Times New Roman" w:cs="Times New Roman"/>
          <w:b/>
          <w:color w:val="auto"/>
          <w:sz w:val="36"/>
          <w:szCs w:val="36"/>
          <w:highlight w:val="none"/>
        </w:rPr>
        <w:t>月</w:t>
      </w:r>
    </w:p>
    <w:p>
      <w:pPr>
        <w:widowControl/>
        <w:snapToGrid w:val="0"/>
        <w:ind w:firstLine="760"/>
        <w:jc w:val="center"/>
        <w:rPr>
          <w:rFonts w:hint="eastAsia" w:ascii="宋体" w:hAnsi="宋体"/>
          <w:snapToGrid w:val="0"/>
          <w:color w:val="auto"/>
          <w:sz w:val="38"/>
        </w:rPr>
      </w:pPr>
      <w:r>
        <w:rPr>
          <w:rFonts w:hint="eastAsia" w:ascii="宋体" w:hAnsi="宋体"/>
          <w:snapToGrid w:val="0"/>
          <w:color w:val="auto"/>
          <w:sz w:val="38"/>
        </w:rPr>
        <w:t>编制单位和编制人员情况表</w:t>
      </w:r>
    </w:p>
    <w:tbl>
      <w:tblPr>
        <w:tblStyle w:val="15"/>
        <w:tblW w:w="93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6"/>
        <w:gridCol w:w="2079"/>
        <w:gridCol w:w="1757"/>
        <w:gridCol w:w="2166"/>
        <w:gridCol w:w="1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655"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default"/>
                <w:color w:val="auto"/>
                <w:sz w:val="24"/>
              </w:rPr>
            </w:pPr>
            <w:r>
              <w:rPr>
                <w:rFonts w:hint="eastAsia"/>
                <w:color w:val="auto"/>
                <w:sz w:val="24"/>
              </w:rPr>
              <w:t>建设项目名称</w:t>
            </w:r>
          </w:p>
        </w:tc>
        <w:tc>
          <w:tcPr>
            <w:tcW w:w="5701"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textAlignment w:val="center"/>
              <w:rPr>
                <w:rFonts w:hint="eastAsia" w:ascii="Times New Roman" w:hAnsi="Times New Roman" w:eastAsia="Times New Roman"/>
                <w:color w:val="auto"/>
                <w:sz w:val="24"/>
              </w:rPr>
            </w:pPr>
            <w:r>
              <w:rPr>
                <w:rFonts w:hint="eastAsia" w:ascii="Times New Roman" w:hAnsi="Times New Roman"/>
                <w:color w:val="auto"/>
                <w:highlight w:val="none"/>
                <w:lang w:val="en-US" w:eastAsia="zh-CN"/>
              </w:rPr>
              <w:t>浙江明士达股份有限公司环保柔性材料及产品研发中心建设项目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655"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eastAsia"/>
                <w:color w:val="auto"/>
                <w:sz w:val="24"/>
                <w:lang w:val="en-US" w:eastAsia="zh-CN"/>
              </w:rPr>
            </w:pPr>
            <w:r>
              <w:rPr>
                <w:rFonts w:hint="eastAsia"/>
                <w:color w:val="auto"/>
                <w:sz w:val="24"/>
                <w:lang w:val="en-US" w:eastAsia="zh-CN"/>
              </w:rPr>
              <w:t>建设项目类别</w:t>
            </w:r>
          </w:p>
        </w:tc>
        <w:tc>
          <w:tcPr>
            <w:tcW w:w="5701"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textAlignment w:val="center"/>
              <w:rPr>
                <w:rFonts w:hint="eastAsia" w:ascii="Times New Roman" w:hAnsi="Times New Roman" w:eastAsia="Times New Roman"/>
                <w:color w:val="auto"/>
                <w:sz w:val="24"/>
                <w:lang w:val="en-US" w:eastAsia="zh-CN"/>
              </w:rPr>
            </w:pPr>
            <w:r>
              <w:rPr>
                <w:rFonts w:hint="eastAsia" w:ascii="Times New Roman" w:hAnsi="Times New Roman"/>
                <w:color w:val="auto"/>
                <w:sz w:val="24"/>
                <w:lang w:val="en-US" w:eastAsia="zh-CN"/>
              </w:rPr>
              <w:t>37_108其他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655"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default"/>
                <w:color w:val="auto"/>
                <w:sz w:val="24"/>
              </w:rPr>
            </w:pPr>
            <w:r>
              <w:rPr>
                <w:rFonts w:hint="eastAsia"/>
                <w:color w:val="auto"/>
                <w:sz w:val="24"/>
              </w:rPr>
              <w:t>环境影响评价文件类型</w:t>
            </w:r>
          </w:p>
        </w:tc>
        <w:tc>
          <w:tcPr>
            <w:tcW w:w="5701"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textAlignment w:val="center"/>
              <w:rPr>
                <w:rFonts w:hint="eastAsia" w:ascii="Times New Roman" w:hAnsi="Times New Roman" w:eastAsia="Times New Roman"/>
                <w:color w:val="auto"/>
                <w:sz w:val="24"/>
              </w:rPr>
            </w:pPr>
            <w:r>
              <w:rPr>
                <w:rFonts w:hint="eastAsia" w:ascii="Times New Roman" w:hAnsi="Times New Roman"/>
                <w:color w:val="auto"/>
                <w:sz w:val="24"/>
              </w:rPr>
              <w:t>环境影响登记表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356" w:type="dxa"/>
            <w:gridSpan w:val="5"/>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eastAsia" w:ascii="Times New Roman" w:hAnsi="Times New Roman" w:eastAsia="Times New Roman"/>
                <w:color w:val="auto"/>
                <w:sz w:val="24"/>
              </w:rPr>
            </w:pPr>
            <w:r>
              <w:rPr>
                <w:rFonts w:hint="eastAsia" w:ascii="Times New Roman" w:hAnsi="Times New Roman"/>
                <w:color w:val="auto"/>
                <w:sz w:val="24"/>
              </w:rPr>
              <w:t>一、建设单位情况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655"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default"/>
                <w:color w:val="auto"/>
                <w:sz w:val="24"/>
              </w:rPr>
            </w:pPr>
            <w:r>
              <w:rPr>
                <w:rFonts w:hint="eastAsia"/>
                <w:color w:val="auto"/>
                <w:sz w:val="24"/>
              </w:rPr>
              <w:t>单位</w:t>
            </w:r>
            <w:r>
              <w:rPr>
                <w:rFonts w:hint="eastAsia"/>
                <w:color w:val="auto"/>
                <w:sz w:val="24"/>
                <w:lang w:val="en-US" w:eastAsia="zh-CN"/>
              </w:rPr>
              <w:t>名称</w:t>
            </w:r>
            <w:r>
              <w:rPr>
                <w:rFonts w:hint="eastAsia"/>
                <w:color w:val="auto"/>
                <w:sz w:val="24"/>
              </w:rPr>
              <w:t>（签章）</w:t>
            </w:r>
          </w:p>
        </w:tc>
        <w:tc>
          <w:tcPr>
            <w:tcW w:w="5701"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rPr>
            </w:pPr>
            <w:r>
              <w:rPr>
                <w:rFonts w:hint="eastAsia" w:ascii="Times New Roman" w:hAnsi="Times New Roman"/>
                <w:color w:val="auto"/>
                <w:highlight w:val="none"/>
                <w:lang w:val="en-US" w:eastAsia="zh-CN"/>
              </w:rPr>
              <w:t>浙江明士达股份有限公司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655"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eastAsia"/>
                <w:color w:val="auto"/>
                <w:sz w:val="24"/>
                <w:lang w:val="en-US" w:eastAsia="zh-CN"/>
              </w:rPr>
            </w:pPr>
            <w:r>
              <w:rPr>
                <w:rFonts w:hint="eastAsia"/>
                <w:color w:val="auto"/>
                <w:sz w:val="24"/>
                <w:lang w:val="en-US" w:eastAsia="zh-CN"/>
              </w:rPr>
              <w:t>统一社会信用代码</w:t>
            </w:r>
          </w:p>
        </w:tc>
        <w:tc>
          <w:tcPr>
            <w:tcW w:w="5701"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lang w:val="en-US" w:eastAsia="zh-CN"/>
              </w:rPr>
            </w:pPr>
            <w:r>
              <w:rPr>
                <w:rFonts w:hint="eastAsia" w:ascii="Times New Roman" w:hAnsi="Times New Roman" w:eastAsia="Times New Roman"/>
                <w:color w:val="auto"/>
                <w:sz w:val="24"/>
                <w:lang w:val="en-US" w:eastAsia="zh-CN"/>
              </w:rPr>
              <w:t>91330000739234905D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655"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default"/>
                <w:color w:val="auto"/>
                <w:sz w:val="24"/>
              </w:rPr>
            </w:pPr>
            <w:r>
              <w:rPr>
                <w:rFonts w:hint="eastAsia"/>
                <w:color w:val="auto"/>
                <w:sz w:val="24"/>
              </w:rPr>
              <w:t>法定代表人（签章）</w:t>
            </w:r>
          </w:p>
        </w:tc>
        <w:tc>
          <w:tcPr>
            <w:tcW w:w="5701"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color w:val="auto"/>
                <w:sz w:val="24"/>
                <w:lang w:val="en-US" w:eastAsia="zh-CN"/>
              </w:rPr>
            </w:pPr>
            <w:r>
              <w:rPr>
                <w:rFonts w:hint="eastAsia"/>
              </w:rPr>
              <w:t>朱静江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655"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eastAsia"/>
                <w:color w:val="auto"/>
                <w:sz w:val="24"/>
                <w:lang w:val="en-US" w:eastAsia="zh-CN"/>
              </w:rPr>
            </w:pPr>
            <w:r>
              <w:rPr>
                <w:rFonts w:hint="eastAsia"/>
                <w:color w:val="auto"/>
                <w:sz w:val="24"/>
                <w:lang w:val="en-US" w:eastAsia="zh-CN"/>
              </w:rPr>
              <w:t>主要负责人（签字）</w:t>
            </w:r>
          </w:p>
        </w:tc>
        <w:tc>
          <w:tcPr>
            <w:tcW w:w="5701"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rPr>
            </w:pPr>
            <w:r>
              <w:rPr>
                <w:rFonts w:hint="eastAsia"/>
              </w:rPr>
              <w:t>李宏杰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655"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default"/>
                <w:color w:val="auto"/>
                <w:sz w:val="24"/>
              </w:rPr>
            </w:pPr>
            <w:r>
              <w:rPr>
                <w:rFonts w:hint="eastAsia"/>
                <w:color w:val="auto"/>
                <w:sz w:val="24"/>
                <w:lang w:val="en-US" w:eastAsia="zh-CN"/>
              </w:rPr>
              <w:t>直接负责的</w:t>
            </w:r>
            <w:r>
              <w:rPr>
                <w:rFonts w:hint="eastAsia"/>
                <w:color w:val="auto"/>
                <w:sz w:val="24"/>
              </w:rPr>
              <w:t>主管人员</w:t>
            </w:r>
          </w:p>
        </w:tc>
        <w:tc>
          <w:tcPr>
            <w:tcW w:w="5701"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color w:val="auto"/>
                <w:sz w:val="24"/>
                <w:lang w:val="en-US" w:eastAsia="zh-CN"/>
              </w:rPr>
            </w:pPr>
            <w:r>
              <w:rPr>
                <w:rFonts w:hint="eastAsia"/>
              </w:rPr>
              <w:t>李宏杰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356" w:type="dxa"/>
            <w:gridSpan w:val="5"/>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default"/>
                <w:color w:val="auto"/>
                <w:sz w:val="24"/>
              </w:rPr>
            </w:pPr>
            <w:r>
              <w:rPr>
                <w:rFonts w:hint="eastAsia"/>
                <w:color w:val="auto"/>
                <w:sz w:val="24"/>
              </w:rPr>
              <w:t>二、编制单位情况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exact"/>
          <w:jc w:val="center"/>
        </w:trPr>
        <w:tc>
          <w:tcPr>
            <w:tcW w:w="3655"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default"/>
                <w:color w:val="auto"/>
                <w:sz w:val="24"/>
              </w:rPr>
            </w:pPr>
            <w:r>
              <w:rPr>
                <w:rFonts w:hint="eastAsia"/>
                <w:color w:val="auto"/>
                <w:sz w:val="24"/>
              </w:rPr>
              <w:t>单位</w:t>
            </w:r>
            <w:r>
              <w:rPr>
                <w:rFonts w:hint="eastAsia"/>
                <w:color w:val="auto"/>
                <w:sz w:val="24"/>
                <w:lang w:val="en-US" w:eastAsia="zh-CN"/>
              </w:rPr>
              <w:t>名称</w:t>
            </w:r>
            <w:r>
              <w:rPr>
                <w:rFonts w:hint="eastAsia"/>
                <w:color w:val="auto"/>
                <w:sz w:val="24"/>
              </w:rPr>
              <w:t>（签章）</w:t>
            </w:r>
          </w:p>
        </w:tc>
        <w:tc>
          <w:tcPr>
            <w:tcW w:w="5701"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default"/>
                <w:color w:val="auto"/>
                <w:sz w:val="24"/>
              </w:rPr>
            </w:pPr>
            <w:r>
              <w:rPr>
                <w:rFonts w:hint="eastAsia"/>
                <w:color w:val="auto"/>
                <w:sz w:val="24"/>
              </w:rPr>
              <w:t>杭州市环境保护有限公司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655"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eastAsia" w:ascii="Arial" w:hAnsi="Arial"/>
                <w:color w:val="auto"/>
                <w:sz w:val="24"/>
                <w:lang w:val="en-US" w:eastAsia="zh-CN"/>
              </w:rPr>
            </w:pPr>
            <w:r>
              <w:rPr>
                <w:rFonts w:hint="eastAsia"/>
                <w:color w:val="auto"/>
                <w:sz w:val="24"/>
                <w:lang w:val="en-US" w:eastAsia="zh-CN"/>
              </w:rPr>
              <w:t>统一社会信用代码</w:t>
            </w:r>
          </w:p>
        </w:tc>
        <w:tc>
          <w:tcPr>
            <w:tcW w:w="5701" w:type="dxa"/>
            <w:gridSpan w:val="3"/>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default"/>
                <w:color w:val="auto"/>
                <w:sz w:val="24"/>
              </w:rPr>
            </w:pPr>
            <w:r>
              <w:rPr>
                <w:rFonts w:hint="eastAsia" w:ascii="Times New Roman" w:hAnsi="Times New Roman" w:eastAsia="Times New Roman"/>
                <w:color w:val="auto"/>
                <w:sz w:val="24"/>
              </w:rPr>
              <w:t>91330106143034734H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356" w:type="dxa"/>
            <w:gridSpan w:val="5"/>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default"/>
                <w:color w:val="auto"/>
                <w:sz w:val="24"/>
              </w:rPr>
            </w:pPr>
            <w:r>
              <w:rPr>
                <w:rFonts w:hint="eastAsia"/>
                <w:color w:val="auto"/>
                <w:sz w:val="24"/>
              </w:rPr>
              <w:t>三、编制人员情况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356" w:type="dxa"/>
            <w:gridSpan w:val="5"/>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eastAsia" w:ascii="Times New Roman" w:hAnsi="Times New Roman" w:eastAsia="Times New Roman"/>
                <w:color w:val="auto"/>
                <w:sz w:val="24"/>
              </w:rPr>
            </w:pPr>
            <w:r>
              <w:rPr>
                <w:rFonts w:hint="eastAsia" w:ascii="Times New Roman" w:hAnsi="Times New Roman" w:eastAsia="Times New Roman"/>
                <w:color w:val="auto"/>
                <w:sz w:val="24"/>
              </w:rPr>
              <w:t>1.</w:t>
            </w:r>
            <w:r>
              <w:rPr>
                <w:rFonts w:hint="eastAsia" w:ascii="Times New Roman" w:hAnsi="Times New Roman"/>
                <w:color w:val="auto"/>
                <w:sz w:val="24"/>
              </w:rPr>
              <w:t>编制主持人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576"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default"/>
                <w:color w:val="auto"/>
                <w:sz w:val="24"/>
              </w:rPr>
            </w:pPr>
            <w:r>
              <w:rPr>
                <w:rFonts w:hint="eastAsia"/>
                <w:color w:val="auto"/>
                <w:sz w:val="24"/>
              </w:rPr>
              <w:t>姓名</w:t>
            </w:r>
          </w:p>
        </w:tc>
        <w:tc>
          <w:tcPr>
            <w:tcW w:w="3836"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lang w:val="en-US" w:eastAsia="zh-CN"/>
              </w:rPr>
            </w:pPr>
            <w:r>
              <w:rPr>
                <w:rFonts w:hint="eastAsia" w:ascii="Times New Roman" w:hAnsi="Times New Roman"/>
                <w:color w:val="auto"/>
                <w:sz w:val="24"/>
              </w:rPr>
              <w:t>职业资格证书</w:t>
            </w:r>
            <w:r>
              <w:rPr>
                <w:rFonts w:hint="eastAsia" w:ascii="Times New Roman" w:hAnsi="Times New Roman"/>
                <w:color w:val="auto"/>
                <w:sz w:val="24"/>
                <w:lang w:val="en-US" w:eastAsia="zh-CN"/>
              </w:rPr>
              <w:t>管理号</w:t>
            </w:r>
          </w:p>
        </w:tc>
        <w:tc>
          <w:tcPr>
            <w:tcW w:w="2166"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color w:val="auto"/>
                <w:sz w:val="24"/>
                <w:lang w:val="en-US" w:eastAsia="zh-CN"/>
              </w:rPr>
            </w:pPr>
            <w:r>
              <w:rPr>
                <w:rFonts w:hint="eastAsia" w:ascii="Times New Roman" w:hAnsi="Times New Roman"/>
                <w:color w:val="auto"/>
                <w:sz w:val="24"/>
                <w:lang w:val="en-US" w:eastAsia="zh-CN"/>
              </w:rPr>
              <w:t>信用编号</w:t>
            </w:r>
          </w:p>
        </w:tc>
        <w:tc>
          <w:tcPr>
            <w:tcW w:w="1778"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rPr>
            </w:pPr>
            <w:r>
              <w:rPr>
                <w:rFonts w:hint="eastAsia" w:ascii="Times New Roman" w:hAnsi="Times New Roman"/>
                <w:color w:val="auto"/>
                <w:sz w:val="24"/>
              </w:rPr>
              <w:t>签字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576"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default"/>
                <w:color w:val="auto"/>
                <w:sz w:val="24"/>
              </w:rPr>
            </w:pPr>
            <w:r>
              <w:rPr>
                <w:rFonts w:hint="eastAsia"/>
                <w:color w:val="auto"/>
                <w:sz w:val="24"/>
              </w:rPr>
              <w:t>李昌平</w:t>
            </w:r>
          </w:p>
        </w:tc>
        <w:tc>
          <w:tcPr>
            <w:tcW w:w="3836"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lang w:val="en-US" w:eastAsia="zh-CN"/>
              </w:rPr>
            </w:pPr>
            <w:r>
              <w:rPr>
                <w:rFonts w:hint="eastAsia" w:ascii="Times New Roman" w:hAnsi="Times New Roman"/>
                <w:color w:val="auto"/>
                <w:sz w:val="24"/>
                <w:lang w:val="en-US" w:eastAsia="zh-CN"/>
              </w:rPr>
              <w:t>2013035330350000003512330411</w:t>
            </w:r>
          </w:p>
        </w:tc>
        <w:tc>
          <w:tcPr>
            <w:tcW w:w="2166"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lang w:val="en-US" w:eastAsia="zh-CN"/>
              </w:rPr>
            </w:pPr>
            <w:r>
              <w:rPr>
                <w:rFonts w:hint="eastAsia" w:ascii="Times New Roman" w:hAnsi="Times New Roman"/>
                <w:color w:val="auto"/>
                <w:sz w:val="24"/>
                <w:lang w:val="en-US" w:eastAsia="zh-CN"/>
              </w:rPr>
              <w:t>BH011317</w:t>
            </w:r>
          </w:p>
        </w:tc>
        <w:tc>
          <w:tcPr>
            <w:tcW w:w="1778"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356" w:type="dxa"/>
            <w:gridSpan w:val="5"/>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rPr>
                <w:rFonts w:hint="eastAsia" w:ascii="Times New Roman" w:hAnsi="Times New Roman" w:eastAsia="Times New Roman"/>
                <w:color w:val="auto"/>
                <w:sz w:val="24"/>
              </w:rPr>
            </w:pPr>
            <w:r>
              <w:rPr>
                <w:rFonts w:hint="eastAsia" w:ascii="Times New Roman" w:hAnsi="Times New Roman" w:eastAsia="Times New Roman"/>
                <w:color w:val="auto"/>
                <w:sz w:val="24"/>
              </w:rPr>
              <w:t>2.</w:t>
            </w:r>
            <w:r>
              <w:rPr>
                <w:rFonts w:hint="eastAsia" w:ascii="Times New Roman" w:hAnsi="Times New Roman"/>
                <w:color w:val="auto"/>
                <w:sz w:val="24"/>
              </w:rPr>
              <w:t>主要编制人员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576"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default"/>
                <w:color w:val="auto"/>
                <w:sz w:val="24"/>
              </w:rPr>
            </w:pPr>
            <w:r>
              <w:rPr>
                <w:rFonts w:hint="eastAsia"/>
                <w:color w:val="auto"/>
                <w:sz w:val="24"/>
              </w:rPr>
              <w:t>姓名</w:t>
            </w:r>
          </w:p>
        </w:tc>
        <w:tc>
          <w:tcPr>
            <w:tcW w:w="3836"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rPr>
            </w:pPr>
            <w:r>
              <w:rPr>
                <w:rFonts w:hint="eastAsia" w:ascii="Times New Roman" w:hAnsi="Times New Roman"/>
                <w:color w:val="auto"/>
                <w:sz w:val="24"/>
              </w:rPr>
              <w:t>主要编写内容</w:t>
            </w:r>
          </w:p>
        </w:tc>
        <w:tc>
          <w:tcPr>
            <w:tcW w:w="2166"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rPr>
            </w:pPr>
            <w:r>
              <w:rPr>
                <w:rFonts w:hint="eastAsia" w:ascii="Times New Roman" w:hAnsi="Times New Roman"/>
                <w:color w:val="auto"/>
                <w:sz w:val="24"/>
                <w:lang w:val="en-US" w:eastAsia="zh-CN"/>
              </w:rPr>
              <w:t>信用编号</w:t>
            </w:r>
          </w:p>
        </w:tc>
        <w:tc>
          <w:tcPr>
            <w:tcW w:w="1778"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rPr>
            </w:pPr>
            <w:r>
              <w:rPr>
                <w:rFonts w:hint="eastAsia" w:ascii="Times New Roman" w:hAnsi="Times New Roman"/>
                <w:color w:val="auto"/>
                <w:sz w:val="24"/>
              </w:rPr>
              <w:t>签字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576"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default"/>
                <w:color w:val="auto"/>
                <w:sz w:val="24"/>
              </w:rPr>
            </w:pPr>
            <w:r>
              <w:rPr>
                <w:rFonts w:hint="eastAsia"/>
                <w:color w:val="auto"/>
                <w:sz w:val="24"/>
              </w:rPr>
              <w:t>李昌平</w:t>
            </w:r>
          </w:p>
        </w:tc>
        <w:tc>
          <w:tcPr>
            <w:tcW w:w="3836" w:type="dxa"/>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color w:val="auto"/>
                <w:sz w:val="24"/>
                <w:lang w:eastAsia="zh-CN"/>
              </w:rPr>
            </w:pPr>
            <w:r>
              <w:rPr>
                <w:rFonts w:hint="eastAsia" w:ascii="Times New Roman" w:hAnsi="Times New Roman"/>
                <w:color w:val="auto"/>
                <w:sz w:val="24"/>
                <w:lang w:val="en-US" w:eastAsia="zh-CN"/>
              </w:rPr>
              <w:t>全部内容</w:t>
            </w:r>
          </w:p>
        </w:tc>
        <w:tc>
          <w:tcPr>
            <w:tcW w:w="2166"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rPr>
            </w:pPr>
            <w:r>
              <w:rPr>
                <w:rFonts w:hint="eastAsia" w:ascii="Times New Roman" w:hAnsi="Times New Roman"/>
                <w:color w:val="auto"/>
                <w:sz w:val="24"/>
                <w:lang w:val="en-US" w:eastAsia="zh-CN"/>
              </w:rPr>
              <w:t>BH011317</w:t>
            </w:r>
          </w:p>
        </w:tc>
        <w:tc>
          <w:tcPr>
            <w:tcW w:w="1778" w:type="dxa"/>
            <w:tcBorders>
              <w:top w:val="single" w:color="auto" w:sz="4" w:space="0"/>
              <w:left w:val="single" w:color="auto" w:sz="4" w:space="0"/>
              <w:bottom w:val="single" w:color="auto" w:sz="4" w:space="0"/>
              <w:right w:val="single" w:color="auto" w:sz="4" w:space="0"/>
              <w:tl2br w:val="nil"/>
              <w:tr2bl w:val="nil"/>
            </w:tcBorders>
            <w:noWrap w:val="0"/>
            <w:vAlign w:val="center"/>
          </w:tcPr>
          <w:p>
            <w:pPr>
              <w:autoSpaceDE/>
              <w:autoSpaceDN/>
              <w:snapToGrid w:val="0"/>
              <w:jc w:val="center"/>
              <w:rPr>
                <w:rFonts w:hint="eastAsia" w:ascii="Times New Roman" w:hAnsi="Times New Roman" w:eastAsia="Times New Roman"/>
                <w:color w:val="auto"/>
                <w:sz w:val="24"/>
              </w:rPr>
            </w:pPr>
          </w:p>
        </w:tc>
      </w:tr>
    </w:tbl>
    <w:p>
      <w:pPr>
        <w:pStyle w:val="3"/>
        <w:shd w:val="clear"/>
        <w:rPr>
          <w:rFonts w:hint="eastAsia" w:eastAsia="宋体"/>
          <w:color w:val="auto"/>
          <w:highlight w:val="none"/>
          <w:lang w:eastAsia="zh-CN"/>
        </w:rPr>
      </w:pPr>
    </w:p>
    <w:p>
      <w:pPr>
        <w:shd w:val="clear"/>
        <w:jc w:val="center"/>
        <w:rPr>
          <w:rFonts w:ascii="Times New Roman" w:hAnsi="Times New Roman" w:eastAsia="黑体"/>
          <w:color w:val="auto"/>
          <w:sz w:val="14"/>
          <w:highlight w:val="none"/>
        </w:rPr>
        <w:sectPr>
          <w:footerReference r:id="rId9" w:type="default"/>
          <w:pgSz w:w="11900" w:h="16820"/>
          <w:pgMar w:top="1400" w:right="1100" w:bottom="1420" w:left="1060" w:header="720" w:footer="720" w:gutter="0"/>
          <w:pgNumType w:fmt="decimal" w:start="1"/>
          <w:cols w:space="720" w:num="1"/>
          <w:docGrid w:linePitch="326" w:charSpace="0"/>
        </w:sectPr>
      </w:pPr>
    </w:p>
    <w:tbl>
      <w:tblPr>
        <w:tblStyle w:val="15"/>
        <w:tblW w:w="9604" w:type="dxa"/>
        <w:jc w:val="center"/>
        <w:tblLayout w:type="fixed"/>
        <w:tblCellMar>
          <w:top w:w="0" w:type="dxa"/>
          <w:left w:w="0" w:type="dxa"/>
          <w:bottom w:w="0" w:type="dxa"/>
          <w:right w:w="0" w:type="dxa"/>
        </w:tblCellMar>
      </w:tblPr>
      <w:tblGrid>
        <w:gridCol w:w="5"/>
        <w:gridCol w:w="1713"/>
        <w:gridCol w:w="2772"/>
        <w:gridCol w:w="3077"/>
        <w:gridCol w:w="2037"/>
      </w:tblGrid>
      <w:tr>
        <w:trPr>
          <w:gridBefore w:val="1"/>
          <w:wBefore w:w="5" w:type="dxa"/>
          <w:trHeight w:val="90" w:hRule="atLeast"/>
          <w:jc w:val="center"/>
        </w:trPr>
        <w:tc>
          <w:tcPr>
            <w:tcW w:w="9599" w:type="dxa"/>
            <w:gridSpan w:val="4"/>
            <w:tcBorders>
              <w:top w:val="nil"/>
              <w:left w:val="nil"/>
              <w:bottom w:val="nil"/>
              <w:right w:val="nil"/>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sz w:val="38"/>
                <w:highlight w:val="none"/>
              </w:rPr>
            </w:pPr>
            <w:r>
              <w:rPr>
                <w:rFonts w:hint="default" w:ascii="Times New Roman" w:hAnsi="Times New Roman" w:cs="Times New Roman"/>
                <w:b/>
                <w:color w:val="auto"/>
                <w:sz w:val="38"/>
                <w:highlight w:val="none"/>
              </w:rPr>
              <w:t>建设项目环境影响登记表</w:t>
            </w:r>
          </w:p>
        </w:tc>
      </w:tr>
      <w:tr>
        <w:tblPrEx>
          <w:tblCellMar>
            <w:top w:w="0" w:type="dxa"/>
            <w:left w:w="0" w:type="dxa"/>
            <w:bottom w:w="0" w:type="dxa"/>
            <w:right w:w="0" w:type="dxa"/>
          </w:tblCellMar>
        </w:tblPrEx>
        <w:trPr>
          <w:gridBefore w:val="1"/>
          <w:wBefore w:w="5" w:type="dxa"/>
          <w:trHeight w:val="90" w:hRule="atLeast"/>
          <w:jc w:val="center"/>
        </w:trPr>
        <w:tc>
          <w:tcPr>
            <w:tcW w:w="9599" w:type="dxa"/>
            <w:gridSpan w:val="4"/>
            <w:tcBorders>
              <w:top w:val="nil"/>
              <w:left w:val="nil"/>
              <w:bottom w:val="single" w:color="000000" w:sz="6" w:space="0"/>
              <w:right w:val="nil"/>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righ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b/>
                <w:color w:val="auto"/>
                <w:highlight w:val="none"/>
              </w:rPr>
              <w:t xml:space="preserve">填报日期: </w:t>
            </w:r>
            <w:r>
              <w:rPr>
                <w:rFonts w:hint="default" w:ascii="Times New Roman" w:hAnsi="Times New Roman" w:cs="Times New Roman"/>
                <w:b/>
                <w:color w:val="auto"/>
                <w:highlight w:val="none"/>
                <w:lang w:val="en-US" w:eastAsia="zh-CN"/>
              </w:rPr>
              <w:t>2020-09-03</w:t>
            </w:r>
          </w:p>
        </w:tc>
      </w:tr>
      <w:tr>
        <w:tblPrEx>
          <w:tblCellMar>
            <w:top w:w="0" w:type="dxa"/>
            <w:left w:w="0" w:type="dxa"/>
            <w:bottom w:w="0" w:type="dxa"/>
            <w:right w:w="0" w:type="dxa"/>
          </w:tblCellMar>
        </w:tblPrEx>
        <w:trPr>
          <w:gridBefore w:val="1"/>
          <w:wBefore w:w="5" w:type="dxa"/>
          <w:trHeight w:val="90" w:hRule="atLeast"/>
          <w:jc w:val="center"/>
        </w:trPr>
        <w:tc>
          <w:tcPr>
            <w:tcW w:w="1713"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项目名称</w:t>
            </w:r>
          </w:p>
        </w:tc>
        <w:tc>
          <w:tcPr>
            <w:tcW w:w="7886" w:type="dxa"/>
            <w:gridSpan w:val="3"/>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浙江明士达股份有限公司环保柔性材料及产品研发中心建设项目</w:t>
            </w:r>
          </w:p>
        </w:tc>
      </w:tr>
      <w:tr>
        <w:tblPrEx>
          <w:tblCellMar>
            <w:top w:w="0" w:type="dxa"/>
            <w:left w:w="0" w:type="dxa"/>
            <w:bottom w:w="0" w:type="dxa"/>
            <w:right w:w="0" w:type="dxa"/>
          </w:tblCellMar>
        </w:tblPrEx>
        <w:trPr>
          <w:gridBefore w:val="1"/>
          <w:wBefore w:w="5" w:type="dxa"/>
          <w:trHeight w:val="90" w:hRule="atLeast"/>
          <w:jc w:val="center"/>
        </w:trPr>
        <w:tc>
          <w:tcPr>
            <w:tcW w:w="1713"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建设地点</w:t>
            </w:r>
          </w:p>
        </w:tc>
        <w:tc>
          <w:tcPr>
            <w:tcW w:w="277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szCs w:val="24"/>
                <w:lang w:val="en-US" w:eastAsia="zh-CN"/>
              </w:rPr>
              <w:t>马桥街道海宁大道东、宋顾大桥港南</w:t>
            </w:r>
          </w:p>
        </w:tc>
        <w:tc>
          <w:tcPr>
            <w:tcW w:w="307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建筑面积（m</w:t>
            </w:r>
            <w:r>
              <w:rPr>
                <w:rFonts w:hint="default" w:ascii="Times New Roman" w:hAnsi="Times New Roman" w:cs="Times New Roman"/>
                <w:b/>
                <w:color w:val="auto"/>
                <w:highlight w:val="none"/>
                <w:vertAlign w:val="superscript"/>
              </w:rPr>
              <w:t>2</w:t>
            </w:r>
            <w:r>
              <w:rPr>
                <w:rFonts w:hint="default" w:ascii="Times New Roman" w:hAnsi="Times New Roman" w:cs="Times New Roman"/>
                <w:b/>
                <w:color w:val="auto"/>
                <w:highlight w:val="none"/>
              </w:rPr>
              <w:t>）</w:t>
            </w:r>
          </w:p>
        </w:tc>
        <w:tc>
          <w:tcPr>
            <w:tcW w:w="203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7334.5</w:t>
            </w:r>
          </w:p>
        </w:tc>
      </w:tr>
      <w:tr>
        <w:tblPrEx>
          <w:tblCellMar>
            <w:top w:w="0" w:type="dxa"/>
            <w:left w:w="0" w:type="dxa"/>
            <w:bottom w:w="0" w:type="dxa"/>
            <w:right w:w="0" w:type="dxa"/>
          </w:tblCellMar>
        </w:tblPrEx>
        <w:trPr>
          <w:gridBefore w:val="1"/>
          <w:wBefore w:w="5" w:type="dxa"/>
          <w:trHeight w:val="90" w:hRule="atLeast"/>
          <w:jc w:val="center"/>
        </w:trPr>
        <w:tc>
          <w:tcPr>
            <w:tcW w:w="1713"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建设单位</w:t>
            </w:r>
          </w:p>
        </w:tc>
        <w:tc>
          <w:tcPr>
            <w:tcW w:w="277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浙江明士达股份有限公司</w:t>
            </w:r>
          </w:p>
        </w:tc>
        <w:tc>
          <w:tcPr>
            <w:tcW w:w="307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法定代表人或者主要负责人</w:t>
            </w:r>
          </w:p>
        </w:tc>
        <w:tc>
          <w:tcPr>
            <w:tcW w:w="203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rPr>
              <w:t>朱静江</w:t>
            </w:r>
          </w:p>
        </w:tc>
      </w:tr>
      <w:tr>
        <w:tblPrEx>
          <w:tblCellMar>
            <w:top w:w="0" w:type="dxa"/>
            <w:left w:w="0" w:type="dxa"/>
            <w:bottom w:w="0" w:type="dxa"/>
            <w:right w:w="0" w:type="dxa"/>
          </w:tblCellMar>
        </w:tblPrEx>
        <w:trPr>
          <w:gridBefore w:val="1"/>
          <w:wBefore w:w="5" w:type="dxa"/>
          <w:trHeight w:val="90" w:hRule="atLeast"/>
          <w:jc w:val="center"/>
        </w:trPr>
        <w:tc>
          <w:tcPr>
            <w:tcW w:w="1713"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联系人</w:t>
            </w:r>
          </w:p>
        </w:tc>
        <w:tc>
          <w:tcPr>
            <w:tcW w:w="277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rPr>
              <w:t>李宏杰</w:t>
            </w:r>
          </w:p>
        </w:tc>
        <w:tc>
          <w:tcPr>
            <w:tcW w:w="307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联系电话</w:t>
            </w:r>
          </w:p>
        </w:tc>
        <w:tc>
          <w:tcPr>
            <w:tcW w:w="203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0573-89237966</w:t>
            </w:r>
          </w:p>
        </w:tc>
      </w:tr>
      <w:tr>
        <w:tblPrEx>
          <w:tblCellMar>
            <w:top w:w="0" w:type="dxa"/>
            <w:left w:w="0" w:type="dxa"/>
            <w:bottom w:w="0" w:type="dxa"/>
            <w:right w:w="0" w:type="dxa"/>
          </w:tblCellMar>
        </w:tblPrEx>
        <w:trPr>
          <w:gridBefore w:val="1"/>
          <w:wBefore w:w="5" w:type="dxa"/>
          <w:trHeight w:val="90" w:hRule="atLeast"/>
          <w:jc w:val="center"/>
        </w:trPr>
        <w:tc>
          <w:tcPr>
            <w:tcW w:w="1713"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项目投资(</w:t>
            </w:r>
            <w:r>
              <w:rPr>
                <w:rFonts w:hint="default" w:ascii="Times New Roman" w:hAnsi="Times New Roman" w:cs="Times New Roman"/>
                <w:b/>
                <w:color w:val="auto"/>
                <w:highlight w:val="none"/>
                <w:lang w:eastAsia="zh-CN"/>
              </w:rPr>
              <w:t>万</w:t>
            </w:r>
            <w:r>
              <w:rPr>
                <w:rFonts w:hint="default" w:ascii="Times New Roman" w:hAnsi="Times New Roman" w:cs="Times New Roman"/>
                <w:b/>
                <w:color w:val="auto"/>
                <w:highlight w:val="none"/>
              </w:rPr>
              <w:t>元）</w:t>
            </w:r>
          </w:p>
        </w:tc>
        <w:tc>
          <w:tcPr>
            <w:tcW w:w="277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4590</w:t>
            </w:r>
          </w:p>
        </w:tc>
        <w:tc>
          <w:tcPr>
            <w:tcW w:w="307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环保投资(万元）</w:t>
            </w:r>
          </w:p>
        </w:tc>
        <w:tc>
          <w:tcPr>
            <w:tcW w:w="203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10</w:t>
            </w:r>
          </w:p>
        </w:tc>
      </w:tr>
      <w:tr>
        <w:tblPrEx>
          <w:tblCellMar>
            <w:top w:w="0" w:type="dxa"/>
            <w:left w:w="0" w:type="dxa"/>
            <w:bottom w:w="0" w:type="dxa"/>
            <w:right w:w="0" w:type="dxa"/>
          </w:tblCellMar>
        </w:tblPrEx>
        <w:trPr>
          <w:gridBefore w:val="1"/>
          <w:wBefore w:w="5" w:type="dxa"/>
          <w:trHeight w:val="90" w:hRule="atLeast"/>
          <w:jc w:val="center"/>
        </w:trPr>
        <w:tc>
          <w:tcPr>
            <w:tcW w:w="1713"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拟投入生产运营日期</w:t>
            </w:r>
          </w:p>
        </w:tc>
        <w:tc>
          <w:tcPr>
            <w:tcW w:w="7886" w:type="dxa"/>
            <w:gridSpan w:val="3"/>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年0</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月</w:t>
            </w:r>
          </w:p>
        </w:tc>
      </w:tr>
      <w:tr>
        <w:tblPrEx>
          <w:tblCellMar>
            <w:top w:w="0" w:type="dxa"/>
            <w:left w:w="0" w:type="dxa"/>
            <w:bottom w:w="0" w:type="dxa"/>
            <w:right w:w="0" w:type="dxa"/>
          </w:tblCellMar>
        </w:tblPrEx>
        <w:trPr>
          <w:gridBefore w:val="1"/>
          <w:wBefore w:w="5" w:type="dxa"/>
          <w:trHeight w:val="90" w:hRule="atLeast"/>
          <w:jc w:val="center"/>
        </w:trPr>
        <w:tc>
          <w:tcPr>
            <w:tcW w:w="1713"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项目性质</w:t>
            </w:r>
          </w:p>
        </w:tc>
        <w:tc>
          <w:tcPr>
            <w:tcW w:w="277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扩建</w:t>
            </w:r>
          </w:p>
        </w:tc>
        <w:tc>
          <w:tcPr>
            <w:tcW w:w="307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行业类别</w:t>
            </w:r>
          </w:p>
        </w:tc>
        <w:tc>
          <w:tcPr>
            <w:tcW w:w="2037" w:type="dxa"/>
            <w:tcBorders>
              <w:top w:val="single" w:color="000000" w:sz="6" w:space="0"/>
              <w:left w:val="single" w:color="000000" w:sz="6" w:space="0"/>
              <w:bottom w:val="single" w:color="000000" w:sz="6" w:space="0"/>
              <w:right w:val="single" w:color="000000" w:sz="6" w:space="0"/>
            </w:tcBorders>
            <w:shd w:val="clear" w:color="auto" w:fill="FFFFFF"/>
            <w:vAlign w:val="center"/>
          </w:tcPr>
          <w:p>
            <w:pPr>
              <w:pStyle w:val="13"/>
              <w:keepNext w:val="0"/>
              <w:keepLines w:val="0"/>
              <w:pageBreakBefore w:val="0"/>
              <w:widowControl w:val="0"/>
              <w:shd w:val="clear"/>
              <w:kinsoku w:val="0"/>
              <w:wordWrap w:val="0"/>
              <w:overflowPunct/>
              <w:topLinePunct w:val="0"/>
              <w:bidi w:val="0"/>
              <w:spacing w:line="24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M7320工程和技术研究和试验发展</w:t>
            </w:r>
          </w:p>
        </w:tc>
      </w:tr>
      <w:tr>
        <w:tblPrEx>
          <w:tblCellMar>
            <w:top w:w="0" w:type="dxa"/>
            <w:left w:w="0" w:type="dxa"/>
            <w:bottom w:w="0" w:type="dxa"/>
            <w:right w:w="0" w:type="dxa"/>
          </w:tblCellMar>
        </w:tblPrEx>
        <w:trPr>
          <w:gridBefore w:val="1"/>
          <w:wBefore w:w="5" w:type="dxa"/>
          <w:trHeight w:val="90" w:hRule="atLeast"/>
          <w:jc w:val="center"/>
        </w:trPr>
        <w:tc>
          <w:tcPr>
            <w:tcW w:w="1713"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主要产品名称</w:t>
            </w:r>
          </w:p>
        </w:tc>
        <w:tc>
          <w:tcPr>
            <w:tcW w:w="7886" w:type="dxa"/>
            <w:gridSpan w:val="3"/>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本项目仅从事环保柔性材料及产品的研发和测试，不涉及工业生产</w:t>
            </w:r>
          </w:p>
        </w:tc>
      </w:tr>
      <w:tr>
        <w:tblPrEx>
          <w:tblCellMar>
            <w:top w:w="0" w:type="dxa"/>
            <w:left w:w="0" w:type="dxa"/>
            <w:bottom w:w="0" w:type="dxa"/>
            <w:right w:w="0" w:type="dxa"/>
          </w:tblCellMar>
        </w:tblPrEx>
        <w:trPr>
          <w:gridBefore w:val="1"/>
          <w:wBefore w:w="5" w:type="dxa"/>
          <w:trHeight w:val="2229" w:hRule="atLeast"/>
          <w:jc w:val="center"/>
        </w:trPr>
        <w:tc>
          <w:tcPr>
            <w:tcW w:w="1713"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主要设备</w:t>
            </w:r>
          </w:p>
        </w:tc>
        <w:tc>
          <w:tcPr>
            <w:tcW w:w="7886" w:type="dxa"/>
            <w:gridSpan w:val="3"/>
            <w:tcBorders>
              <w:top w:val="single" w:color="000000" w:sz="6" w:space="0"/>
              <w:left w:val="single" w:color="000000" w:sz="6" w:space="0"/>
              <w:bottom w:val="single" w:color="000000" w:sz="6" w:space="0"/>
              <w:right w:val="single" w:color="000000" w:sz="6" w:space="0"/>
            </w:tcBorders>
            <w:shd w:val="clear" w:color="auto" w:fill="FFFFFF"/>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表1  主要设备清单</w:t>
            </w:r>
          </w:p>
          <w:tbl>
            <w:tblPr>
              <w:tblStyle w:val="15"/>
              <w:tblW w:w="49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7"/>
              <w:gridCol w:w="2997"/>
              <w:gridCol w:w="2114"/>
              <w:gridCol w:w="1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序号</w:t>
                  </w:r>
                </w:p>
              </w:tc>
              <w:tc>
                <w:tcPr>
                  <w:tcW w:w="299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设备名称</w:t>
                  </w:r>
                </w:p>
              </w:tc>
              <w:tc>
                <w:tcPr>
                  <w:tcW w:w="2114"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型号</w:t>
                  </w:r>
                </w:p>
              </w:tc>
              <w:tc>
                <w:tcPr>
                  <w:tcW w:w="1700"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数量（台/套）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一</w:t>
                  </w:r>
                </w:p>
              </w:tc>
              <w:tc>
                <w:tcPr>
                  <w:tcW w:w="6811" w:type="dxa"/>
                  <w:gridSpan w:val="3"/>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b/>
                      <w:kern w:val="0"/>
                      <w:sz w:val="21"/>
                      <w:szCs w:val="21"/>
                    </w:rPr>
                    <w:t>研发设备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精密过滤器</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冷干机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研磨机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振动器</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流量计</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分散机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一体机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启天M4330</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电子天平</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kern w:val="0"/>
                      <w:sz w:val="21"/>
                      <w:szCs w:val="21"/>
                      <w:lang w:eastAsia="zh-CN"/>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干燥箱</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9070AS</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通风柜</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kern w:val="0"/>
                      <w:sz w:val="21"/>
                      <w:szCs w:val="21"/>
                      <w:lang w:eastAsia="zh-CN"/>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液相色谱仪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LC-310</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电脑</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启天M4330</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能量色散X荧光光谱仪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EDX1800B</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磨温机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XW-306C-6</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纸管压力测试机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kern w:val="0"/>
                      <w:sz w:val="21"/>
                      <w:szCs w:val="21"/>
                      <w:lang w:eastAsia="zh-CN"/>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可燃性测试仪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FYH816</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水循环温度控制机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kern w:val="0"/>
                      <w:sz w:val="21"/>
                      <w:szCs w:val="21"/>
                      <w:lang w:eastAsia="zh-CN"/>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粗糙度仪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TSR200</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55型清洗机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480W/23L</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光纤激光喷码机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总厚度仪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干燥箱</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比重计</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色差仪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低温测试仪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拉力机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阻燃测试仪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氧指数测试仪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测增塑剂纯度仪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透光仪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UV对色灯箱</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烘箱</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高温高湿烘箱</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小型搅拌机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粘度计</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耐磨仪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电子称</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温度计</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测温仪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电压机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热风机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光哑度仪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白度仪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空调</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硬度计</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紫外线老化试验箱</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打印机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水压计</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亮度仪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配色仪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水式模温机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织物厚度仪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动态和疲劳试验机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电子式蠕变试验机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多轴向拉伸仪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电子万能试验机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纱线强力测试仪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硬挺度仪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导热系数测试仪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高频焊接机-滚轮</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流延涂覆机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平板涂覆机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透湿仪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多功能分切机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静电纺喷一体机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静电筛网涂层机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电脑工业缝纫机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鼓风机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电脑自动裁切机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粉碎机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热重分析仪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日晒气候老化仪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粒径检测仪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超景深显微镜</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超声C扫描检测系统</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去离子纯水机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动态DIC应变测试系统</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静电测试仪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耐弯折仪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气流式粉碎机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气动升降搅拌机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甲醛测试分析仪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滚动测温仪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工业CT无损检测设备</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材料开吸测量系统</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动态热机械分析仪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动态全自动接触角仪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红外热成像仪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电化学工作站</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PVD镀膜机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超声波喷涂机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微型发泡设备系统</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流延机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检测烟浓度</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博勒飞（粘度计）</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精密涂布棒</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气动汞</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针板架</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荧光分光光度计</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紫外光功力计</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测汞计</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激光粉尘仪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粉层采样器</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二氧化碳测定仪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放射性污染计量仪</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val="en-US" w:eastAsia="zh-CN"/>
                    </w:rPr>
                    <w:t>/</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二</w:t>
                  </w:r>
                </w:p>
              </w:tc>
              <w:tc>
                <w:tcPr>
                  <w:tcW w:w="6811" w:type="dxa"/>
                  <w:gridSpan w:val="3"/>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b/>
                      <w:kern w:val="0"/>
                      <w:sz w:val="21"/>
                      <w:szCs w:val="21"/>
                    </w:rPr>
                    <w:t>小试设备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二辊复合机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四辊试验机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筛粉机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4</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表面处理机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喷墨印刷机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6</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小二辊试验机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7</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密炼机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8</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挤出机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9</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造粒机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淋膜机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96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11</w:t>
                  </w:r>
                </w:p>
              </w:tc>
              <w:tc>
                <w:tcPr>
                  <w:tcW w:w="2997"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小样定型烘干机</w:t>
                  </w:r>
                </w:p>
              </w:tc>
              <w:tc>
                <w:tcPr>
                  <w:tcW w:w="2114"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lang w:eastAsia="zh-CN"/>
                    </w:rPr>
                    <w:t>定制</w:t>
                  </w:r>
                </w:p>
              </w:tc>
              <w:tc>
                <w:tcPr>
                  <w:tcW w:w="1700" w:type="dxa"/>
                  <w:noWrap/>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 xml:space="preserve">1 </w:t>
                  </w:r>
                </w:p>
              </w:tc>
            </w:tr>
          </w:tbl>
          <w:p>
            <w:pPr>
              <w:pStyle w:val="2"/>
              <w:keepNext w:val="0"/>
              <w:keepLines w:val="0"/>
              <w:pageBreakBefore w:val="0"/>
              <w:widowControl w:val="0"/>
              <w:shd w:val="clear"/>
              <w:kinsoku w:val="0"/>
              <w:wordWrap w:val="0"/>
              <w:overflowPunct/>
              <w:topLinePunct w:val="0"/>
              <w:bidi w:val="0"/>
              <w:spacing w:line="240" w:lineRule="auto"/>
              <w:textAlignment w:val="auto"/>
              <w:rPr>
                <w:rFonts w:hint="default" w:ascii="Times New Roman" w:hAnsi="Times New Roman" w:cs="Times New Roman"/>
                <w:color w:val="auto"/>
                <w:highlight w:val="none"/>
              </w:rPr>
            </w:pPr>
          </w:p>
        </w:tc>
      </w:tr>
      <w:tr>
        <w:tblPrEx>
          <w:tblCellMar>
            <w:top w:w="0" w:type="dxa"/>
            <w:left w:w="0" w:type="dxa"/>
            <w:bottom w:w="0" w:type="dxa"/>
            <w:right w:w="0" w:type="dxa"/>
          </w:tblCellMar>
        </w:tblPrEx>
        <w:trPr>
          <w:gridBefore w:val="1"/>
          <w:wBefore w:w="5" w:type="dxa"/>
          <w:trHeight w:val="4001" w:hRule="atLeast"/>
          <w:jc w:val="center"/>
        </w:trPr>
        <w:tc>
          <w:tcPr>
            <w:tcW w:w="1713" w:type="dxa"/>
            <w:tcBorders>
              <w:top w:val="single" w:color="000000" w:sz="6" w:space="0"/>
              <w:left w:val="single" w:color="000000" w:sz="6" w:space="0"/>
              <w:bottom w:val="single" w:color="auto" w:sz="4"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b/>
                <w:color w:val="auto"/>
                <w:highlight w:val="none"/>
              </w:rPr>
            </w:pPr>
            <w:r>
              <w:rPr>
                <w:rFonts w:hint="default" w:ascii="Times New Roman" w:hAnsi="Times New Roman" w:cs="Times New Roman"/>
                <w:b/>
                <w:color w:val="auto"/>
                <w:highlight w:val="none"/>
              </w:rPr>
              <w:t>主要原辅材料</w:t>
            </w:r>
          </w:p>
        </w:tc>
        <w:tc>
          <w:tcPr>
            <w:tcW w:w="7886" w:type="dxa"/>
            <w:gridSpan w:val="3"/>
            <w:tcBorders>
              <w:top w:val="single" w:color="000000" w:sz="6" w:space="0"/>
              <w:left w:val="single" w:color="000000" w:sz="6" w:space="0"/>
              <w:bottom w:val="single" w:color="auto" w:sz="4" w:space="0"/>
              <w:right w:val="single" w:color="000000" w:sz="6" w:space="0"/>
            </w:tcBorders>
            <w:shd w:val="clear" w:color="auto" w:fill="FFFFFF"/>
          </w:tcPr>
          <w:p>
            <w:pPr>
              <w:pStyle w:val="2"/>
              <w:keepNext w:val="0"/>
              <w:keepLines w:val="0"/>
              <w:pageBreakBefore w:val="0"/>
              <w:widowControl w:val="0"/>
              <w:shd w:val="clear"/>
              <w:kinsoku w:val="0"/>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表2  原辅材料用量表</w:t>
            </w:r>
          </w:p>
          <w:tbl>
            <w:tblPr>
              <w:tblStyle w:val="16"/>
              <w:tblW w:w="49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7"/>
              <w:gridCol w:w="668"/>
              <w:gridCol w:w="875"/>
              <w:gridCol w:w="3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15" w:type="pct"/>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原料</w:t>
                  </w:r>
                  <w:r>
                    <w:rPr>
                      <w:rFonts w:hint="default" w:ascii="Times New Roman" w:hAnsi="Times New Roman" w:cs="Times New Roman"/>
                      <w:color w:val="auto"/>
                      <w:sz w:val="21"/>
                      <w:szCs w:val="21"/>
                      <w:highlight w:val="none"/>
                    </w:rPr>
                    <w:t>名称</w:t>
                  </w:r>
                </w:p>
              </w:tc>
              <w:tc>
                <w:tcPr>
                  <w:tcW w:w="428" w:type="pct"/>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单位</w:t>
                  </w:r>
                </w:p>
              </w:tc>
              <w:tc>
                <w:tcPr>
                  <w:tcW w:w="560" w:type="pct"/>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年用量</w:t>
                  </w:r>
                </w:p>
              </w:tc>
              <w:tc>
                <w:tcPr>
                  <w:tcW w:w="2295" w:type="pct"/>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15" w:type="pct"/>
                  <w:vAlign w:val="center"/>
                </w:tcPr>
                <w:p>
                  <w:pPr>
                    <w:keepNext w:val="0"/>
                    <w:keepLines w:val="0"/>
                    <w:pageBreakBefore w:val="0"/>
                    <w:widowControl w:val="0"/>
                    <w:suppressLineNumbers w:val="0"/>
                    <w:kinsoku w:val="0"/>
                    <w:wordWrap w:val="0"/>
                    <w:overflowPunct/>
                    <w:topLinePunct w:val="0"/>
                    <w:bidi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color w:val="000000"/>
                      <w:sz w:val="21"/>
                      <w:szCs w:val="21"/>
                      <w:lang w:val="en-US" w:eastAsia="zh-CN" w:bidi="ar-SA"/>
                    </w:rPr>
                  </w:pPr>
                  <w:r>
                    <w:rPr>
                      <w:rFonts w:hint="default" w:ascii="Times New Roman" w:hAnsi="Times New Roman" w:eastAsia="宋体" w:cs="Times New Roman"/>
                      <w:b w:val="0"/>
                      <w:bCs/>
                      <w:sz w:val="21"/>
                      <w:szCs w:val="21"/>
                    </w:rPr>
                    <w:t>PVC树脂</w:t>
                  </w:r>
                </w:p>
              </w:tc>
              <w:tc>
                <w:tcPr>
                  <w:tcW w:w="428"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t/a</w:t>
                  </w:r>
                </w:p>
              </w:tc>
              <w:tc>
                <w:tcPr>
                  <w:tcW w:w="560"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2.0</w:t>
                  </w:r>
                </w:p>
              </w:tc>
              <w:tc>
                <w:tcPr>
                  <w:tcW w:w="2295" w:type="pct"/>
                  <w:vAlign w:val="center"/>
                </w:tcPr>
                <w:p>
                  <w:pPr>
                    <w:keepNext w:val="0"/>
                    <w:keepLines w:val="0"/>
                    <w:pageBreakBefore w:val="0"/>
                    <w:widowControl w:val="0"/>
                    <w:shd w:val="clear"/>
                    <w:kinsoku w:val="0"/>
                    <w:wordWrap w:val="0"/>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715" w:type="pct"/>
                  <w:vAlign w:val="center"/>
                </w:tcPr>
                <w:p>
                  <w:pPr>
                    <w:keepNext w:val="0"/>
                    <w:keepLines w:val="0"/>
                    <w:pageBreakBefore w:val="0"/>
                    <w:widowControl w:val="0"/>
                    <w:suppressLineNumbers w:val="0"/>
                    <w:kinsoku w:val="0"/>
                    <w:wordWrap w:val="0"/>
                    <w:overflowPunct/>
                    <w:topLinePunct w:val="0"/>
                    <w:bidi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color w:val="000000"/>
                      <w:sz w:val="21"/>
                      <w:szCs w:val="21"/>
                      <w:lang w:val="en-US" w:eastAsia="zh-CN" w:bidi="ar-SA"/>
                    </w:rPr>
                  </w:pPr>
                  <w:r>
                    <w:rPr>
                      <w:rFonts w:hint="default" w:ascii="Times New Roman" w:hAnsi="Times New Roman" w:eastAsia="宋体" w:cs="Times New Roman"/>
                      <w:b w:val="0"/>
                      <w:bCs/>
                      <w:sz w:val="21"/>
                      <w:szCs w:val="21"/>
                    </w:rPr>
                    <w:t>DOTP增塑剂</w:t>
                  </w:r>
                </w:p>
              </w:tc>
              <w:tc>
                <w:tcPr>
                  <w:tcW w:w="428"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t/a</w:t>
                  </w:r>
                </w:p>
              </w:tc>
              <w:tc>
                <w:tcPr>
                  <w:tcW w:w="560"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0.5</w:t>
                  </w:r>
                </w:p>
              </w:tc>
              <w:tc>
                <w:tcPr>
                  <w:tcW w:w="2295" w:type="pct"/>
                  <w:vAlign w:val="center"/>
                </w:tcPr>
                <w:p>
                  <w:pPr>
                    <w:keepNext w:val="0"/>
                    <w:keepLines w:val="0"/>
                    <w:pageBreakBefore w:val="0"/>
                    <w:widowControl w:val="0"/>
                    <w:shd w:val="clear"/>
                    <w:kinsoku w:val="0"/>
                    <w:wordWrap w:val="0"/>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8" w:hRule="atLeast"/>
                <w:jc w:val="center"/>
              </w:trPr>
              <w:tc>
                <w:tcPr>
                  <w:tcW w:w="1715" w:type="pct"/>
                  <w:vAlign w:val="center"/>
                </w:tcPr>
                <w:p>
                  <w:pPr>
                    <w:keepNext w:val="0"/>
                    <w:keepLines w:val="0"/>
                    <w:pageBreakBefore w:val="0"/>
                    <w:widowControl w:val="0"/>
                    <w:suppressLineNumbers w:val="0"/>
                    <w:kinsoku w:val="0"/>
                    <w:wordWrap w:val="0"/>
                    <w:overflowPunct/>
                    <w:topLinePunct w:val="0"/>
                    <w:bidi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color w:val="000000"/>
                      <w:sz w:val="21"/>
                      <w:szCs w:val="21"/>
                      <w:lang w:val="en-US" w:eastAsia="zh-CN" w:bidi="ar-SA"/>
                    </w:rPr>
                  </w:pPr>
                  <w:r>
                    <w:rPr>
                      <w:rFonts w:hint="default" w:ascii="Times New Roman" w:hAnsi="Times New Roman" w:eastAsia="宋体" w:cs="Times New Roman"/>
                      <w:b w:val="0"/>
                      <w:bCs/>
                      <w:sz w:val="21"/>
                      <w:szCs w:val="21"/>
                    </w:rPr>
                    <w:t>稳定剂</w:t>
                  </w:r>
                  <w:r>
                    <w:rPr>
                      <w:rFonts w:hint="default" w:ascii="Times New Roman" w:hAnsi="Times New Roman" w:eastAsia="宋体" w:cs="Times New Roman"/>
                      <w:b w:val="0"/>
                      <w:bCs/>
                      <w:sz w:val="21"/>
                      <w:szCs w:val="21"/>
                      <w:lang w:eastAsia="zh-CN"/>
                    </w:rPr>
                    <w:t>（氧化钡、氧化锌）</w:t>
                  </w:r>
                </w:p>
              </w:tc>
              <w:tc>
                <w:tcPr>
                  <w:tcW w:w="428"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t/a</w:t>
                  </w:r>
                </w:p>
              </w:tc>
              <w:tc>
                <w:tcPr>
                  <w:tcW w:w="560"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0.1</w:t>
                  </w:r>
                </w:p>
              </w:tc>
              <w:tc>
                <w:tcPr>
                  <w:tcW w:w="2295" w:type="pct"/>
                  <w:vAlign w:val="center"/>
                </w:tcPr>
                <w:p>
                  <w:pPr>
                    <w:keepNext w:val="0"/>
                    <w:keepLines w:val="0"/>
                    <w:pageBreakBefore w:val="0"/>
                    <w:widowControl w:val="0"/>
                    <w:shd w:val="clear"/>
                    <w:kinsoku w:val="0"/>
                    <w:wordWrap w:val="0"/>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715" w:type="pct"/>
                  <w:vAlign w:val="center"/>
                </w:tcPr>
                <w:p>
                  <w:pPr>
                    <w:keepNext w:val="0"/>
                    <w:keepLines w:val="0"/>
                    <w:pageBreakBefore w:val="0"/>
                    <w:widowControl w:val="0"/>
                    <w:suppressLineNumbers w:val="0"/>
                    <w:kinsoku w:val="0"/>
                    <w:wordWrap w:val="0"/>
                    <w:overflowPunct/>
                    <w:topLinePunct w:val="0"/>
                    <w:bidi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color w:val="000000"/>
                      <w:sz w:val="21"/>
                      <w:szCs w:val="21"/>
                      <w:lang w:val="en-US" w:eastAsia="zh-CN" w:bidi="ar-SA"/>
                    </w:rPr>
                  </w:pPr>
                  <w:r>
                    <w:rPr>
                      <w:rFonts w:hint="default" w:ascii="Times New Roman" w:hAnsi="Times New Roman" w:eastAsia="宋体" w:cs="Times New Roman"/>
                      <w:b w:val="0"/>
                      <w:bCs/>
                      <w:sz w:val="21"/>
                      <w:szCs w:val="21"/>
                      <w:lang w:eastAsia="zh-CN"/>
                    </w:rPr>
                    <w:t>三氧化二锑</w:t>
                  </w:r>
                </w:p>
              </w:tc>
              <w:tc>
                <w:tcPr>
                  <w:tcW w:w="428"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t/a</w:t>
                  </w:r>
                </w:p>
              </w:tc>
              <w:tc>
                <w:tcPr>
                  <w:tcW w:w="560"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0.1</w:t>
                  </w:r>
                </w:p>
              </w:tc>
              <w:tc>
                <w:tcPr>
                  <w:tcW w:w="2295" w:type="pct"/>
                  <w:vAlign w:val="center"/>
                </w:tcPr>
                <w:p>
                  <w:pPr>
                    <w:keepNext w:val="0"/>
                    <w:keepLines w:val="0"/>
                    <w:pageBreakBefore w:val="0"/>
                    <w:widowControl w:val="0"/>
                    <w:shd w:val="clear"/>
                    <w:kinsoku w:val="0"/>
                    <w:wordWrap w:val="0"/>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715" w:type="pct"/>
                  <w:vAlign w:val="center"/>
                </w:tcPr>
                <w:p>
                  <w:pPr>
                    <w:keepNext w:val="0"/>
                    <w:keepLines w:val="0"/>
                    <w:pageBreakBefore w:val="0"/>
                    <w:widowControl w:val="0"/>
                    <w:suppressLineNumbers w:val="0"/>
                    <w:kinsoku w:val="0"/>
                    <w:wordWrap w:val="0"/>
                    <w:overflowPunct/>
                    <w:topLinePunct w:val="0"/>
                    <w:bidi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color w:val="000000"/>
                      <w:sz w:val="21"/>
                      <w:szCs w:val="21"/>
                      <w:lang w:val="en-US" w:eastAsia="zh-CN" w:bidi="ar-SA"/>
                    </w:rPr>
                  </w:pPr>
                  <w:r>
                    <w:rPr>
                      <w:rFonts w:hint="default" w:ascii="Times New Roman" w:hAnsi="Times New Roman" w:eastAsia="宋体" w:cs="Times New Roman"/>
                      <w:b w:val="0"/>
                      <w:bCs/>
                      <w:sz w:val="21"/>
                      <w:szCs w:val="21"/>
                    </w:rPr>
                    <w:t>其他助剂</w:t>
                  </w:r>
                </w:p>
              </w:tc>
              <w:tc>
                <w:tcPr>
                  <w:tcW w:w="428"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t/a</w:t>
                  </w:r>
                </w:p>
              </w:tc>
              <w:tc>
                <w:tcPr>
                  <w:tcW w:w="560"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0.5</w:t>
                  </w:r>
                </w:p>
              </w:tc>
              <w:tc>
                <w:tcPr>
                  <w:tcW w:w="2295" w:type="pct"/>
                  <w:vAlign w:val="center"/>
                </w:tcPr>
                <w:p>
                  <w:pPr>
                    <w:keepNext w:val="0"/>
                    <w:keepLines w:val="0"/>
                    <w:pageBreakBefore w:val="0"/>
                    <w:widowControl w:val="0"/>
                    <w:shd w:val="clear"/>
                    <w:kinsoku w:val="0"/>
                    <w:wordWrap w:val="0"/>
                    <w:overflowPunct/>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8" w:hRule="atLeast"/>
                <w:jc w:val="center"/>
              </w:trPr>
              <w:tc>
                <w:tcPr>
                  <w:tcW w:w="1715"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水性油墨</w:t>
                  </w:r>
                </w:p>
              </w:tc>
              <w:tc>
                <w:tcPr>
                  <w:tcW w:w="428"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t/a</w:t>
                  </w:r>
                </w:p>
              </w:tc>
              <w:tc>
                <w:tcPr>
                  <w:tcW w:w="560" w:type="pct"/>
                  <w:vAlign w:val="center"/>
                </w:tcPr>
                <w:p>
                  <w:pPr>
                    <w:keepNext w:val="0"/>
                    <w:keepLines w:val="0"/>
                    <w:pageBreakBefore w:val="0"/>
                    <w:widowControl w:val="0"/>
                    <w:shd w:val="clear"/>
                    <w:kinsoku w:val="0"/>
                    <w:wordWrap w:val="0"/>
                    <w:overflowPunct/>
                    <w:topLinePunct w:val="0"/>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0.05</w:t>
                  </w:r>
                </w:p>
              </w:tc>
              <w:tc>
                <w:tcPr>
                  <w:tcW w:w="2295" w:type="pct"/>
                  <w:vAlign w:val="center"/>
                </w:tcPr>
                <w:p>
                  <w:pPr>
                    <w:keepNext w:val="0"/>
                    <w:keepLines w:val="0"/>
                    <w:pageBreakBefore w:val="0"/>
                    <w:widowControl w:val="0"/>
                    <w:shd w:val="clear"/>
                    <w:kinsoku w:val="0"/>
                    <w:wordWrap w:val="0"/>
                    <w:overflowPunct/>
                    <w:topLinePunct w:val="0"/>
                    <w:bidi w:val="0"/>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val="0"/>
                      <w:bCs/>
                      <w:sz w:val="21"/>
                      <w:szCs w:val="16"/>
                      <w:lang w:val="en-US" w:eastAsia="zh-CN"/>
                    </w:rPr>
                    <w:t>水50%~80%，水性聚氨酯树脂15%~30%，颜料5%~30%，酒精0~5%</w:t>
                  </w:r>
                </w:p>
              </w:tc>
            </w:tr>
          </w:tbl>
          <w:p>
            <w:pPr>
              <w:pStyle w:val="14"/>
              <w:keepNext w:val="0"/>
              <w:keepLines w:val="0"/>
              <w:pageBreakBefore w:val="0"/>
              <w:widowControl w:val="0"/>
              <w:suppressLineNumbers w:val="0"/>
              <w:kinsoku/>
              <w:wordWrap w:val="0"/>
              <w:overflowPunct/>
              <w:topLinePunct w:val="0"/>
              <w:bidi w:val="0"/>
              <w:snapToGrid/>
              <w:spacing w:beforeAutospacing="0" w:afterAutospacing="0" w:line="360" w:lineRule="auto"/>
              <w:ind w:left="0" w:right="0" w:firstLine="480" w:firstLineChars="200"/>
              <w:textAlignment w:val="auto"/>
              <w:rPr>
                <w:rFonts w:hint="default" w:ascii="Times New Roman" w:hAnsi="Times New Roman" w:eastAsia="宋体" w:cs="Times New Roman"/>
                <w:b w:val="0"/>
                <w:bCs w:val="0"/>
                <w:szCs w:val="24"/>
                <w:lang w:val="en-US" w:eastAsia="zh-CN"/>
              </w:rPr>
            </w:pPr>
            <w:r>
              <w:rPr>
                <w:rFonts w:hint="default" w:ascii="Times New Roman" w:hAnsi="Times New Roman" w:eastAsia="宋体" w:cs="Times New Roman"/>
                <w:b w:val="0"/>
                <w:bCs w:val="0"/>
                <w:szCs w:val="24"/>
                <w:lang w:val="en-US" w:eastAsia="zh-CN"/>
              </w:rPr>
              <w:t>（1）PVC树脂</w:t>
            </w:r>
          </w:p>
          <w:p>
            <w:pPr>
              <w:pStyle w:val="14"/>
              <w:keepNext w:val="0"/>
              <w:keepLines w:val="0"/>
              <w:pageBreakBefore w:val="0"/>
              <w:widowControl w:val="0"/>
              <w:suppressLineNumbers w:val="0"/>
              <w:kinsoku/>
              <w:wordWrap w:val="0"/>
              <w:overflowPunct/>
              <w:topLinePunct w:val="0"/>
              <w:autoSpaceDE/>
              <w:autoSpaceDN/>
              <w:bidi w:val="0"/>
              <w:adjustRightInd/>
              <w:snapToGrid/>
              <w:spacing w:beforeAutospacing="0" w:afterAutospacing="0" w:line="360" w:lineRule="auto"/>
              <w:ind w:left="0" w:right="0" w:firstLine="480" w:firstLineChars="200"/>
              <w:textAlignment w:val="auto"/>
              <w:rPr>
                <w:rFonts w:hint="default" w:ascii="Times New Roman" w:hAnsi="Times New Roman" w:eastAsia="宋体" w:cs="Times New Roman"/>
                <w:b w:val="0"/>
                <w:bCs w:val="0"/>
                <w:szCs w:val="24"/>
                <w:lang w:val="en-US" w:eastAsia="zh-CN"/>
              </w:rPr>
            </w:pPr>
            <w:r>
              <w:rPr>
                <w:rFonts w:hint="default" w:ascii="Times New Roman" w:hAnsi="Times New Roman" w:eastAsia="宋体" w:cs="Times New Roman"/>
                <w:b w:val="0"/>
                <w:bCs w:val="0"/>
                <w:szCs w:val="24"/>
                <w:lang w:val="en-US" w:eastAsia="zh-CN"/>
              </w:rPr>
              <w:t>物理外观为白色粉末，无毒、无臭。相对密度1.35-1.46g/cm</w:t>
            </w:r>
            <w:r>
              <w:rPr>
                <w:rFonts w:hint="default" w:ascii="Times New Roman" w:hAnsi="Times New Roman" w:eastAsia="宋体" w:cs="Times New Roman"/>
                <w:b w:val="0"/>
                <w:bCs w:val="0"/>
                <w:szCs w:val="24"/>
                <w:vertAlign w:val="superscript"/>
                <w:lang w:val="en-US" w:eastAsia="zh-CN"/>
              </w:rPr>
              <w:t>3</w:t>
            </w:r>
            <w:r>
              <w:rPr>
                <w:rFonts w:hint="default" w:ascii="Times New Roman" w:hAnsi="Times New Roman" w:eastAsia="宋体" w:cs="Times New Roman"/>
                <w:b w:val="0"/>
                <w:bCs w:val="0"/>
                <w:szCs w:val="24"/>
                <w:lang w:val="en-US" w:eastAsia="zh-CN"/>
              </w:rPr>
              <w:t>，折射率1.544（20℃）不溶于水，汽油，酒精和氯乙烯，溶于丙酮，二氯乙烷，二甲苯等溶剂，化学稳定性很高，具有良好的可塑性</w:t>
            </w:r>
            <w:r>
              <w:rPr>
                <w:rFonts w:hint="default" w:ascii="Times New Roman" w:hAnsi="Times New Roman" w:cs="Times New Roman"/>
                <w:b w:val="0"/>
                <w:bCs w:val="0"/>
                <w:szCs w:val="24"/>
                <w:lang w:val="en-US" w:eastAsia="zh-CN"/>
              </w:rPr>
              <w:t>，</w:t>
            </w:r>
            <w:r>
              <w:rPr>
                <w:rFonts w:hint="default" w:ascii="Times New Roman" w:hAnsi="Times New Roman" w:eastAsia="宋体" w:cs="Times New Roman"/>
                <w:b w:val="0"/>
                <w:bCs w:val="0"/>
                <w:szCs w:val="24"/>
                <w:lang w:val="en-US" w:eastAsia="zh-CN"/>
              </w:rPr>
              <w:t>分解温度可达300℃以上。</w:t>
            </w:r>
          </w:p>
          <w:p>
            <w:pPr>
              <w:pStyle w:val="14"/>
              <w:keepNext w:val="0"/>
              <w:keepLines w:val="0"/>
              <w:pageBreakBefore w:val="0"/>
              <w:widowControl w:val="0"/>
              <w:suppressLineNumbers w:val="0"/>
              <w:kinsoku/>
              <w:wordWrap w:val="0"/>
              <w:overflowPunct/>
              <w:topLinePunct w:val="0"/>
              <w:bidi w:val="0"/>
              <w:snapToGrid/>
              <w:spacing w:beforeAutospacing="0" w:afterAutospacing="0" w:line="360" w:lineRule="auto"/>
              <w:ind w:left="0" w:right="0" w:firstLine="480" w:firstLineChars="200"/>
              <w:textAlignment w:val="auto"/>
              <w:rPr>
                <w:rFonts w:hint="default" w:ascii="Times New Roman" w:hAnsi="Times New Roman" w:eastAsia="宋体" w:cs="Times New Roman"/>
                <w:b w:val="0"/>
                <w:bCs w:val="0"/>
                <w:szCs w:val="24"/>
                <w:lang w:val="en-US" w:eastAsia="zh-CN"/>
              </w:rPr>
            </w:pPr>
            <w:r>
              <w:rPr>
                <w:rFonts w:hint="default" w:ascii="Times New Roman" w:hAnsi="Times New Roman" w:eastAsia="宋体" w:cs="Times New Roman"/>
                <w:b w:val="0"/>
                <w:bCs w:val="0"/>
                <w:szCs w:val="24"/>
                <w:lang w:val="en-US" w:eastAsia="zh-CN"/>
              </w:rPr>
              <w:t>（2）DOTP</w:t>
            </w:r>
          </w:p>
          <w:p>
            <w:pPr>
              <w:pStyle w:val="14"/>
              <w:keepNext w:val="0"/>
              <w:keepLines w:val="0"/>
              <w:pageBreakBefore w:val="0"/>
              <w:widowControl w:val="0"/>
              <w:suppressLineNumbers w:val="0"/>
              <w:kinsoku/>
              <w:wordWrap w:val="0"/>
              <w:overflowPunct/>
              <w:topLinePunct w:val="0"/>
              <w:autoSpaceDE/>
              <w:autoSpaceDN/>
              <w:bidi w:val="0"/>
              <w:adjustRightInd/>
              <w:snapToGrid/>
              <w:spacing w:beforeAutospacing="0" w:afterAutospacing="0" w:line="360" w:lineRule="auto"/>
              <w:ind w:left="0" w:right="0" w:firstLine="480" w:firstLineChars="200"/>
              <w:textAlignment w:val="auto"/>
              <w:rPr>
                <w:rFonts w:hint="default" w:ascii="Times New Roman" w:hAnsi="Times New Roman" w:eastAsia="宋体" w:cs="Times New Roman"/>
                <w:b w:val="0"/>
                <w:bCs w:val="0"/>
                <w:szCs w:val="24"/>
                <w:lang w:val="en-US" w:eastAsia="zh-CN"/>
              </w:rPr>
            </w:pPr>
            <w:r>
              <w:rPr>
                <w:rFonts w:hint="default" w:ascii="Times New Roman" w:hAnsi="Times New Roman" w:eastAsia="宋体" w:cs="Times New Roman"/>
                <w:b w:val="0"/>
                <w:bCs w:val="0"/>
                <w:szCs w:val="24"/>
                <w:lang w:val="en-US" w:eastAsia="zh-CN"/>
              </w:rPr>
              <w:t>DOTP，对苯二甲酸二辛酯，折射率1.4887。水中溶解度0.4%（20℃），水解率0.04%（沸水煮96h）。挥发损失12%（重量）（177℃加热24h后）。质量标准：外观透明油状液体，无悬浮物；酯含量&gt;99.0%；密度（20℃）0.981-0.986g/cm</w:t>
            </w:r>
            <w:r>
              <w:rPr>
                <w:rFonts w:hint="default" w:ascii="Times New Roman" w:hAnsi="Times New Roman" w:eastAsia="宋体" w:cs="Times New Roman"/>
                <w:b w:val="0"/>
                <w:bCs w:val="0"/>
                <w:szCs w:val="24"/>
                <w:vertAlign w:val="superscript"/>
                <w:lang w:val="en-US" w:eastAsia="zh-CN"/>
              </w:rPr>
              <w:t>3</w:t>
            </w:r>
            <w:r>
              <w:rPr>
                <w:rFonts w:hint="default" w:ascii="Times New Roman" w:hAnsi="Times New Roman" w:eastAsia="宋体" w:cs="Times New Roman"/>
                <w:b w:val="0"/>
                <w:bCs w:val="0"/>
                <w:szCs w:val="24"/>
                <w:lang w:val="en-US" w:eastAsia="zh-CN"/>
              </w:rPr>
              <w:t>；酸度（以苯二甲酸计）&lt;0.015；闪点&gt;210℃；色度（铂-钴）号&lt;50；加热减量&lt;0.1%。DOTP是一种环保型、可替代DOP的新型增塑剂。DOTP在物理性能和机械性能上均优于DOP，具有突出的耐电性能、耐热、低的玻璃化温度、低挥发性等性能。</w:t>
            </w:r>
          </w:p>
          <w:p>
            <w:pPr>
              <w:pStyle w:val="2"/>
              <w:keepNext w:val="0"/>
              <w:keepLines w:val="0"/>
              <w:pageBreakBefore w:val="0"/>
              <w:widowControl w:val="0"/>
              <w:numPr>
                <w:ilvl w:val="0"/>
                <w:numId w:val="2"/>
              </w:numPr>
              <w:kinsoku/>
              <w:wordWrap w:val="0"/>
              <w:overflowPunct/>
              <w:topLinePunct w:val="0"/>
              <w:bidi w:val="0"/>
              <w:snapToGrid/>
              <w:spacing w:line="360" w:lineRule="auto"/>
              <w:ind w:firstLine="480" w:firstLineChars="200"/>
              <w:textAlignment w:val="auto"/>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氧化钡</w:t>
            </w:r>
          </w:p>
          <w:p>
            <w:pPr>
              <w:pStyle w:val="3"/>
              <w:keepNext w:val="0"/>
              <w:keepLines w:val="0"/>
              <w:pageBreakBefore w:val="0"/>
              <w:widowControl w:val="0"/>
              <w:numPr>
                <w:ilvl w:val="3"/>
                <w:numId w:val="0"/>
              </w:numPr>
              <w:suppressLineNumbers w:val="0"/>
              <w:tabs>
                <w:tab w:val="right" w:leader="dot" w:pos="9072"/>
              </w:tabs>
              <w:kinsoku/>
              <w:wordWrap w:val="0"/>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氧化钡（Barium oxide），分子式为BaO，分子量为153.33，别名</w:t>
            </w:r>
            <w:r>
              <w:rPr>
                <w:rFonts w:hint="default" w:ascii="Times New Roman" w:hAnsi="Times New Roman" w:eastAsia="宋体" w:cs="Times New Roman"/>
                <w:b w:val="0"/>
                <w:bCs w:val="0"/>
                <w:i w:val="0"/>
                <w:caps w:val="0"/>
                <w:color w:val="auto"/>
                <w:spacing w:val="0"/>
                <w:sz w:val="24"/>
                <w:szCs w:val="24"/>
                <w:shd w:val="clear" w:fill="FFFFFF"/>
              </w:rPr>
              <w:t>一氧化钡；重土</w:t>
            </w:r>
            <w:r>
              <w:rPr>
                <w:rFonts w:hint="default" w:ascii="Times New Roman" w:hAnsi="Times New Roman" w:eastAsia="宋体" w:cs="Times New Roman"/>
                <w:b w:val="0"/>
                <w:bCs w:val="0"/>
                <w:i w:val="0"/>
                <w:caps w:val="0"/>
                <w:color w:val="auto"/>
                <w:spacing w:val="0"/>
                <w:sz w:val="24"/>
                <w:szCs w:val="24"/>
                <w:shd w:val="clear" w:fill="FFFFFF"/>
                <w:lang w:eastAsia="zh-CN"/>
              </w:rPr>
              <w:t>，熔点</w:t>
            </w:r>
            <w:r>
              <w:rPr>
                <w:rFonts w:hint="default" w:ascii="Times New Roman" w:hAnsi="Times New Roman" w:eastAsia="宋体" w:cs="Times New Roman"/>
                <w:b w:val="0"/>
                <w:bCs w:val="0"/>
                <w:i w:val="0"/>
                <w:caps w:val="0"/>
                <w:color w:val="auto"/>
                <w:spacing w:val="0"/>
                <w:sz w:val="24"/>
                <w:szCs w:val="24"/>
                <w:shd w:val="clear" w:fill="FFFFFF"/>
                <w:lang w:val="en-US" w:eastAsia="zh-CN"/>
              </w:rPr>
              <w:t>1923</w:t>
            </w:r>
            <w:r>
              <w:rPr>
                <w:rFonts w:hint="default" w:ascii="Times New Roman" w:hAnsi="Times New Roman" w:eastAsia="宋体" w:cs="Times New Roman"/>
                <w:b w:val="0"/>
                <w:bCs w:val="0"/>
                <w:color w:val="auto"/>
                <w:sz w:val="24"/>
                <w:szCs w:val="24"/>
                <w:lang w:val="en-US" w:eastAsia="zh-CN"/>
              </w:rPr>
              <w:t>℃，沸点2000℃，</w:t>
            </w:r>
            <w:r>
              <w:rPr>
                <w:rFonts w:hint="default" w:ascii="Times New Roman" w:hAnsi="Times New Roman" w:eastAsia="宋体" w:cs="Times New Roman"/>
                <w:b w:val="0"/>
                <w:bCs w:val="0"/>
                <w:i w:val="0"/>
                <w:caps w:val="0"/>
                <w:color w:val="auto"/>
                <w:spacing w:val="0"/>
                <w:sz w:val="24"/>
                <w:szCs w:val="24"/>
                <w:shd w:val="clear" w:fill="FFFFFF"/>
              </w:rPr>
              <w:t>为无色立方晶体。溶于酸，不溶于</w:t>
            </w:r>
            <w:r>
              <w:rPr>
                <w:rFonts w:hint="default" w:ascii="Times New Roman" w:hAnsi="Times New Roman" w:eastAsia="宋体" w:cs="Times New Roman"/>
                <w:b w:val="0"/>
                <w:bCs w:val="0"/>
                <w:i w:val="0"/>
                <w:caps w:val="0"/>
                <w:color w:val="auto"/>
                <w:spacing w:val="0"/>
                <w:sz w:val="24"/>
                <w:szCs w:val="24"/>
                <w:u w:val="none"/>
                <w:shd w:val="clear" w:fill="FFFFFF"/>
              </w:rPr>
              <w:fldChar w:fldCharType="begin"/>
            </w:r>
            <w:r>
              <w:rPr>
                <w:rFonts w:hint="default" w:ascii="Times New Roman" w:hAnsi="Times New Roman" w:eastAsia="宋体" w:cs="Times New Roman"/>
                <w:b w:val="0"/>
                <w:bCs w:val="0"/>
                <w:i w:val="0"/>
                <w:caps w:val="0"/>
                <w:color w:val="auto"/>
                <w:spacing w:val="0"/>
                <w:sz w:val="24"/>
                <w:szCs w:val="24"/>
                <w:u w:val="none"/>
                <w:shd w:val="clear" w:fill="FFFFFF"/>
              </w:rPr>
              <w:instrText xml:space="preserve"> HYPERLINK "https://baike.baidu.com/item/%E4%B8%99%E9%85%AE/955883" \t "https://baike.baidu.com/item/%E6%B0%A7%E5%8C%96%E9%92%A1/_blank" </w:instrText>
            </w:r>
            <w:r>
              <w:rPr>
                <w:rFonts w:hint="default" w:ascii="Times New Roman" w:hAnsi="Times New Roman" w:eastAsia="宋体" w:cs="Times New Roman"/>
                <w:b w:val="0"/>
                <w:bCs w:val="0"/>
                <w:i w:val="0"/>
                <w:caps w:val="0"/>
                <w:color w:val="auto"/>
                <w:spacing w:val="0"/>
                <w:sz w:val="24"/>
                <w:szCs w:val="24"/>
                <w:u w:val="none"/>
                <w:shd w:val="clear" w:fill="FFFFFF"/>
              </w:rPr>
              <w:fldChar w:fldCharType="separate"/>
            </w:r>
            <w:r>
              <w:rPr>
                <w:rStyle w:val="19"/>
                <w:rFonts w:hint="default" w:ascii="Times New Roman" w:hAnsi="Times New Roman" w:eastAsia="宋体" w:cs="Times New Roman"/>
                <w:b w:val="0"/>
                <w:bCs w:val="0"/>
                <w:i w:val="0"/>
                <w:caps w:val="0"/>
                <w:color w:val="auto"/>
                <w:spacing w:val="0"/>
                <w:sz w:val="24"/>
                <w:szCs w:val="24"/>
                <w:u w:val="none"/>
                <w:shd w:val="clear" w:fill="FFFFFF"/>
              </w:rPr>
              <w:t>丙酮</w:t>
            </w:r>
            <w:r>
              <w:rPr>
                <w:rFonts w:hint="default" w:ascii="Times New Roman" w:hAnsi="Times New Roman" w:eastAsia="宋体" w:cs="Times New Roman"/>
                <w:b w:val="0"/>
                <w:bCs w:val="0"/>
                <w:i w:val="0"/>
                <w:caps w:val="0"/>
                <w:color w:val="auto"/>
                <w:spacing w:val="0"/>
                <w:sz w:val="24"/>
                <w:szCs w:val="24"/>
                <w:u w:val="none"/>
                <w:shd w:val="clear" w:fill="FFFFFF"/>
              </w:rPr>
              <w:fldChar w:fldCharType="end"/>
            </w:r>
            <w:r>
              <w:rPr>
                <w:rFonts w:hint="default" w:ascii="Times New Roman" w:hAnsi="Times New Roman" w:eastAsia="宋体" w:cs="Times New Roman"/>
                <w:b w:val="0"/>
                <w:bCs w:val="0"/>
                <w:i w:val="0"/>
                <w:caps w:val="0"/>
                <w:color w:val="auto"/>
                <w:spacing w:val="0"/>
                <w:sz w:val="24"/>
                <w:szCs w:val="24"/>
                <w:shd w:val="clear" w:fill="FFFFFF"/>
              </w:rPr>
              <w:t>和</w:t>
            </w:r>
            <w:r>
              <w:rPr>
                <w:rFonts w:hint="default" w:ascii="Times New Roman" w:hAnsi="Times New Roman" w:eastAsia="宋体" w:cs="Times New Roman"/>
                <w:b w:val="0"/>
                <w:bCs w:val="0"/>
                <w:i w:val="0"/>
                <w:caps w:val="0"/>
                <w:color w:val="auto"/>
                <w:spacing w:val="0"/>
                <w:sz w:val="24"/>
                <w:szCs w:val="24"/>
                <w:u w:val="none"/>
                <w:shd w:val="clear" w:fill="FFFFFF"/>
              </w:rPr>
              <w:fldChar w:fldCharType="begin"/>
            </w:r>
            <w:r>
              <w:rPr>
                <w:rFonts w:hint="default" w:ascii="Times New Roman" w:hAnsi="Times New Roman" w:eastAsia="宋体" w:cs="Times New Roman"/>
                <w:b w:val="0"/>
                <w:bCs w:val="0"/>
                <w:i w:val="0"/>
                <w:caps w:val="0"/>
                <w:color w:val="auto"/>
                <w:spacing w:val="0"/>
                <w:sz w:val="24"/>
                <w:szCs w:val="24"/>
                <w:u w:val="none"/>
                <w:shd w:val="clear" w:fill="FFFFFF"/>
              </w:rPr>
              <w:instrText xml:space="preserve"> HYPERLINK "https://baike.baidu.com/item/%E6%B0%A8%E6%B0%B4/163683" \t "https://baike.baidu.com/item/%E6%B0%A7%E5%8C%96%E9%92%A1/_blank" </w:instrText>
            </w:r>
            <w:r>
              <w:rPr>
                <w:rFonts w:hint="default" w:ascii="Times New Roman" w:hAnsi="Times New Roman" w:eastAsia="宋体" w:cs="Times New Roman"/>
                <w:b w:val="0"/>
                <w:bCs w:val="0"/>
                <w:i w:val="0"/>
                <w:caps w:val="0"/>
                <w:color w:val="auto"/>
                <w:spacing w:val="0"/>
                <w:sz w:val="24"/>
                <w:szCs w:val="24"/>
                <w:u w:val="none"/>
                <w:shd w:val="clear" w:fill="FFFFFF"/>
              </w:rPr>
              <w:fldChar w:fldCharType="separate"/>
            </w:r>
            <w:r>
              <w:rPr>
                <w:rStyle w:val="19"/>
                <w:rFonts w:hint="default" w:ascii="Times New Roman" w:hAnsi="Times New Roman" w:eastAsia="宋体" w:cs="Times New Roman"/>
                <w:b w:val="0"/>
                <w:bCs w:val="0"/>
                <w:i w:val="0"/>
                <w:caps w:val="0"/>
                <w:color w:val="auto"/>
                <w:spacing w:val="0"/>
                <w:sz w:val="24"/>
                <w:szCs w:val="24"/>
                <w:u w:val="none"/>
                <w:shd w:val="clear" w:fill="FFFFFF"/>
              </w:rPr>
              <w:t>氨水</w:t>
            </w:r>
            <w:r>
              <w:rPr>
                <w:rFonts w:hint="default" w:ascii="Times New Roman" w:hAnsi="Times New Roman" w:eastAsia="宋体" w:cs="Times New Roman"/>
                <w:b w:val="0"/>
                <w:bCs w:val="0"/>
                <w:i w:val="0"/>
                <w:caps w:val="0"/>
                <w:color w:val="auto"/>
                <w:spacing w:val="0"/>
                <w:sz w:val="24"/>
                <w:szCs w:val="24"/>
                <w:u w:val="none"/>
                <w:shd w:val="clear" w:fill="FFFFFF"/>
              </w:rPr>
              <w:fldChar w:fldCharType="end"/>
            </w:r>
            <w:r>
              <w:rPr>
                <w:rFonts w:hint="default" w:ascii="Times New Roman" w:hAnsi="Times New Roman" w:eastAsia="宋体" w:cs="Times New Roman"/>
                <w:b w:val="0"/>
                <w:bCs w:val="0"/>
                <w:i w:val="0"/>
                <w:caps w:val="0"/>
                <w:color w:val="auto"/>
                <w:spacing w:val="0"/>
                <w:sz w:val="24"/>
                <w:szCs w:val="24"/>
                <w:shd w:val="clear" w:fill="FFFFFF"/>
              </w:rPr>
              <w:t>。与水作用成</w:t>
            </w:r>
            <w:r>
              <w:rPr>
                <w:rFonts w:hint="default" w:ascii="Times New Roman" w:hAnsi="Times New Roman" w:eastAsia="宋体" w:cs="Times New Roman"/>
                <w:b w:val="0"/>
                <w:bCs w:val="0"/>
                <w:i w:val="0"/>
                <w:caps w:val="0"/>
                <w:color w:val="auto"/>
                <w:spacing w:val="0"/>
                <w:sz w:val="24"/>
                <w:szCs w:val="24"/>
                <w:u w:val="none"/>
                <w:shd w:val="clear" w:fill="FFFFFF"/>
              </w:rPr>
              <w:fldChar w:fldCharType="begin"/>
            </w:r>
            <w:r>
              <w:rPr>
                <w:rFonts w:hint="default" w:ascii="Times New Roman" w:hAnsi="Times New Roman" w:eastAsia="宋体" w:cs="Times New Roman"/>
                <w:b w:val="0"/>
                <w:bCs w:val="0"/>
                <w:i w:val="0"/>
                <w:caps w:val="0"/>
                <w:color w:val="auto"/>
                <w:spacing w:val="0"/>
                <w:sz w:val="24"/>
                <w:szCs w:val="24"/>
                <w:u w:val="none"/>
                <w:shd w:val="clear" w:fill="FFFFFF"/>
              </w:rPr>
              <w:instrText xml:space="preserve"> HYPERLINK "https://baike.baidu.com/item/%E6%B0%A2%E6%B0%A7%E5%8C%96%E9%92%A1/3197299" \t "https://baike.baidu.com/item/%E6%B0%A7%E5%8C%96%E9%92%A1/_blank" </w:instrText>
            </w:r>
            <w:r>
              <w:rPr>
                <w:rFonts w:hint="default" w:ascii="Times New Roman" w:hAnsi="Times New Roman" w:eastAsia="宋体" w:cs="Times New Roman"/>
                <w:b w:val="0"/>
                <w:bCs w:val="0"/>
                <w:i w:val="0"/>
                <w:caps w:val="0"/>
                <w:color w:val="auto"/>
                <w:spacing w:val="0"/>
                <w:sz w:val="24"/>
                <w:szCs w:val="24"/>
                <w:u w:val="none"/>
                <w:shd w:val="clear" w:fill="FFFFFF"/>
              </w:rPr>
              <w:fldChar w:fldCharType="separate"/>
            </w:r>
            <w:r>
              <w:rPr>
                <w:rStyle w:val="19"/>
                <w:rFonts w:hint="default" w:ascii="Times New Roman" w:hAnsi="Times New Roman" w:eastAsia="宋体" w:cs="Times New Roman"/>
                <w:b w:val="0"/>
                <w:bCs w:val="0"/>
                <w:i w:val="0"/>
                <w:caps w:val="0"/>
                <w:color w:val="auto"/>
                <w:spacing w:val="0"/>
                <w:sz w:val="24"/>
                <w:szCs w:val="24"/>
                <w:u w:val="none"/>
                <w:shd w:val="clear" w:fill="FFFFFF"/>
              </w:rPr>
              <w:t>氢氧化钡</w:t>
            </w:r>
            <w:r>
              <w:rPr>
                <w:rFonts w:hint="default" w:ascii="Times New Roman" w:hAnsi="Times New Roman" w:eastAsia="宋体" w:cs="Times New Roman"/>
                <w:b w:val="0"/>
                <w:bCs w:val="0"/>
                <w:i w:val="0"/>
                <w:caps w:val="0"/>
                <w:color w:val="auto"/>
                <w:spacing w:val="0"/>
                <w:sz w:val="24"/>
                <w:szCs w:val="24"/>
                <w:u w:val="none"/>
                <w:shd w:val="clear" w:fill="FFFFFF"/>
              </w:rPr>
              <w:fldChar w:fldCharType="end"/>
            </w:r>
            <w:r>
              <w:rPr>
                <w:rFonts w:hint="default" w:ascii="Times New Roman" w:hAnsi="Times New Roman" w:eastAsia="宋体" w:cs="Times New Roman"/>
                <w:b w:val="0"/>
                <w:bCs w:val="0"/>
                <w:i w:val="0"/>
                <w:caps w:val="0"/>
                <w:color w:val="auto"/>
                <w:spacing w:val="0"/>
                <w:sz w:val="24"/>
                <w:szCs w:val="24"/>
                <w:shd w:val="clear" w:fill="FFFFFF"/>
              </w:rPr>
              <w:t>。在空气中极易吸收水分和二氧化碳而生成</w:t>
            </w:r>
            <w:r>
              <w:rPr>
                <w:rFonts w:hint="default" w:ascii="Times New Roman" w:hAnsi="Times New Roman" w:eastAsia="宋体" w:cs="Times New Roman"/>
                <w:b w:val="0"/>
                <w:bCs w:val="0"/>
                <w:i w:val="0"/>
                <w:caps w:val="0"/>
                <w:color w:val="auto"/>
                <w:spacing w:val="0"/>
                <w:sz w:val="24"/>
                <w:szCs w:val="24"/>
                <w:u w:val="none"/>
                <w:shd w:val="clear" w:fill="FFFFFF"/>
              </w:rPr>
              <w:fldChar w:fldCharType="begin"/>
            </w:r>
            <w:r>
              <w:rPr>
                <w:rFonts w:hint="default" w:ascii="Times New Roman" w:hAnsi="Times New Roman" w:eastAsia="宋体" w:cs="Times New Roman"/>
                <w:b w:val="0"/>
                <w:bCs w:val="0"/>
                <w:i w:val="0"/>
                <w:caps w:val="0"/>
                <w:color w:val="auto"/>
                <w:spacing w:val="0"/>
                <w:sz w:val="24"/>
                <w:szCs w:val="24"/>
                <w:u w:val="none"/>
                <w:shd w:val="clear" w:fill="FFFFFF"/>
              </w:rPr>
              <w:instrText xml:space="preserve"> HYPERLINK "https://baike.baidu.com/item/%E7%A2%B3%E9%85%B8%E9%92%A1/2819567" \t "https://baike.baidu.com/item/%E6%B0%A7%E5%8C%96%E9%92%A1/_blank" </w:instrText>
            </w:r>
            <w:r>
              <w:rPr>
                <w:rFonts w:hint="default" w:ascii="Times New Roman" w:hAnsi="Times New Roman" w:eastAsia="宋体" w:cs="Times New Roman"/>
                <w:b w:val="0"/>
                <w:bCs w:val="0"/>
                <w:i w:val="0"/>
                <w:caps w:val="0"/>
                <w:color w:val="auto"/>
                <w:spacing w:val="0"/>
                <w:sz w:val="24"/>
                <w:szCs w:val="24"/>
                <w:u w:val="none"/>
                <w:shd w:val="clear" w:fill="FFFFFF"/>
              </w:rPr>
              <w:fldChar w:fldCharType="separate"/>
            </w:r>
            <w:r>
              <w:rPr>
                <w:rStyle w:val="19"/>
                <w:rFonts w:hint="default" w:ascii="Times New Roman" w:hAnsi="Times New Roman" w:eastAsia="宋体" w:cs="Times New Roman"/>
                <w:b w:val="0"/>
                <w:bCs w:val="0"/>
                <w:i w:val="0"/>
                <w:caps w:val="0"/>
                <w:color w:val="auto"/>
                <w:spacing w:val="0"/>
                <w:sz w:val="24"/>
                <w:szCs w:val="24"/>
                <w:u w:val="none"/>
                <w:shd w:val="clear" w:fill="FFFFFF"/>
              </w:rPr>
              <w:t>碳酸钡</w:t>
            </w:r>
            <w:r>
              <w:rPr>
                <w:rFonts w:hint="default" w:ascii="Times New Roman" w:hAnsi="Times New Roman" w:eastAsia="宋体" w:cs="Times New Roman"/>
                <w:b w:val="0"/>
                <w:bCs w:val="0"/>
                <w:i w:val="0"/>
                <w:caps w:val="0"/>
                <w:color w:val="auto"/>
                <w:spacing w:val="0"/>
                <w:sz w:val="24"/>
                <w:szCs w:val="24"/>
                <w:u w:val="none"/>
                <w:shd w:val="clear" w:fill="FFFFFF"/>
              </w:rPr>
              <w:fldChar w:fldCharType="end"/>
            </w:r>
            <w:r>
              <w:rPr>
                <w:rFonts w:hint="default" w:ascii="Times New Roman" w:hAnsi="Times New Roman" w:eastAsia="宋体" w:cs="Times New Roman"/>
                <w:b w:val="0"/>
                <w:bCs w:val="0"/>
                <w:i w:val="0"/>
                <w:caps w:val="0"/>
                <w:color w:val="auto"/>
                <w:spacing w:val="0"/>
                <w:sz w:val="24"/>
                <w:szCs w:val="24"/>
                <w:shd w:val="clear" w:fill="FFFFFF"/>
              </w:rPr>
              <w:t>。</w:t>
            </w:r>
            <w:r>
              <w:rPr>
                <w:rFonts w:hint="default" w:ascii="Times New Roman" w:hAnsi="Times New Roman" w:eastAsia="宋体" w:cs="Times New Roman"/>
                <w:b w:val="0"/>
                <w:bCs w:val="0"/>
                <w:i w:val="0"/>
                <w:caps w:val="0"/>
                <w:color w:val="auto"/>
                <w:spacing w:val="0"/>
                <w:sz w:val="24"/>
                <w:szCs w:val="24"/>
                <w:shd w:val="clear" w:fill="FFFFFF"/>
                <w:lang w:eastAsia="zh-CN"/>
              </w:rPr>
              <w:t>属于高毒类物质，急性毒性：</w:t>
            </w:r>
            <w:r>
              <w:rPr>
                <w:rFonts w:hint="default" w:ascii="Times New Roman" w:hAnsi="Times New Roman" w:eastAsia="宋体" w:cs="Times New Roman"/>
                <w:b w:val="0"/>
                <w:bCs w:val="0"/>
                <w:i w:val="0"/>
                <w:caps w:val="0"/>
                <w:color w:val="auto"/>
                <w:spacing w:val="0"/>
                <w:sz w:val="24"/>
                <w:szCs w:val="24"/>
                <w:shd w:val="clear" w:fill="FFFFFF"/>
              </w:rPr>
              <w:t>LD</w:t>
            </w:r>
            <w:r>
              <w:rPr>
                <w:rFonts w:hint="default" w:ascii="Times New Roman" w:hAnsi="Times New Roman" w:eastAsia="宋体" w:cs="Times New Roman"/>
                <w:b w:val="0"/>
                <w:bCs w:val="0"/>
                <w:i w:val="0"/>
                <w:caps w:val="0"/>
                <w:color w:val="auto"/>
                <w:spacing w:val="0"/>
                <w:sz w:val="24"/>
                <w:szCs w:val="24"/>
                <w:shd w:val="clear" w:fill="FFFFFF"/>
                <w:vertAlign w:val="subscript"/>
              </w:rPr>
              <w:t>50</w:t>
            </w:r>
            <w:r>
              <w:rPr>
                <w:rFonts w:hint="default" w:ascii="Times New Roman" w:hAnsi="Times New Roman" w:eastAsia="宋体" w:cs="Times New Roman"/>
                <w:b w:val="0"/>
                <w:bCs w:val="0"/>
                <w:i w:val="0"/>
                <w:caps w:val="0"/>
                <w:color w:val="auto"/>
                <w:spacing w:val="0"/>
                <w:sz w:val="24"/>
                <w:szCs w:val="24"/>
                <w:shd w:val="clear" w:fill="FFFFFF"/>
                <w:vertAlign w:val="subscript"/>
                <w:lang w:val="en-US" w:eastAsia="zh-CN"/>
              </w:rPr>
              <w:t xml:space="preserve"> </w:t>
            </w:r>
            <w:r>
              <w:rPr>
                <w:rFonts w:hint="default" w:ascii="Times New Roman" w:hAnsi="Times New Roman" w:eastAsia="宋体" w:cs="Times New Roman"/>
                <w:b w:val="0"/>
                <w:bCs w:val="0"/>
                <w:i w:val="0"/>
                <w:caps w:val="0"/>
                <w:color w:val="auto"/>
                <w:spacing w:val="0"/>
                <w:sz w:val="24"/>
                <w:szCs w:val="24"/>
                <w:shd w:val="clear" w:fill="FFFFFF"/>
              </w:rPr>
              <w:t>50mg/kg（小鼠皮下）</w:t>
            </w:r>
            <w:r>
              <w:rPr>
                <w:rFonts w:hint="default" w:ascii="Times New Roman" w:hAnsi="Times New Roman" w:eastAsia="宋体" w:cs="Times New Roman"/>
                <w:b w:val="0"/>
                <w:bCs w:val="0"/>
                <w:i w:val="0"/>
                <w:caps w:val="0"/>
                <w:color w:val="auto"/>
                <w:spacing w:val="0"/>
                <w:sz w:val="24"/>
                <w:szCs w:val="24"/>
                <w:shd w:val="clear" w:fill="FFFFFF"/>
                <w:lang w:eastAsia="zh-CN"/>
              </w:rPr>
              <w:t>，</w:t>
            </w:r>
            <w:r>
              <w:rPr>
                <w:rFonts w:hint="default" w:ascii="Times New Roman" w:hAnsi="Times New Roman" w:eastAsia="宋体" w:cs="Times New Roman"/>
                <w:b w:val="0"/>
                <w:bCs w:val="0"/>
                <w:i w:val="0"/>
                <w:caps w:val="0"/>
                <w:color w:val="auto"/>
                <w:spacing w:val="0"/>
                <w:sz w:val="24"/>
                <w:szCs w:val="24"/>
                <w:shd w:val="clear" w:fill="FFFFFF"/>
              </w:rPr>
              <w:t>经口中毒出现流涎、食道灼痛、胃痛、恶心、呕吐、腹泻、血压升高、痉挛、出冷汗、步态不稳、视力及言语模糊、呼吸困难、头晕、耳鸣，严重可死亡。</w:t>
            </w:r>
          </w:p>
          <w:p>
            <w:pPr>
              <w:pStyle w:val="2"/>
              <w:keepNext w:val="0"/>
              <w:keepLines w:val="0"/>
              <w:pageBreakBefore w:val="0"/>
              <w:widowControl w:val="0"/>
              <w:numPr>
                <w:ilvl w:val="0"/>
                <w:numId w:val="2"/>
              </w:numPr>
              <w:kinsoku/>
              <w:wordWrap w:val="0"/>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氧化锌</w:t>
            </w:r>
          </w:p>
          <w:p>
            <w:pPr>
              <w:keepNext w:val="0"/>
              <w:keepLines w:val="0"/>
              <w:pageBreakBefore w:val="0"/>
              <w:widowControl w:val="0"/>
              <w:suppressLineNumbers w:val="0"/>
              <w:shd w:val="clear" w:fill="FFFFFF"/>
              <w:kinsoku/>
              <w:wordWrap w:val="0"/>
              <w:overflowPunct/>
              <w:topLinePunct w:val="0"/>
              <w:autoSpaceDE/>
              <w:autoSpaceDN/>
              <w:bidi w:val="0"/>
              <w:adjustRightInd/>
              <w:snapToGrid/>
              <w:spacing w:beforeAutospacing="0" w:afterAutospacing="0" w:line="360" w:lineRule="auto"/>
              <w:ind w:left="0" w:right="0" w:firstLine="480" w:firstLineChars="200"/>
              <w:jc w:val="left"/>
              <w:textAlignment w:val="auto"/>
              <w:rPr>
                <w:rFonts w:hint="default" w:ascii="Times New Roman" w:hAnsi="Times New Roman" w:eastAsia="宋体" w:cs="Times New Roman"/>
                <w:b w:val="0"/>
                <w:bCs w:val="0"/>
                <w:i w:val="0"/>
                <w:caps w:val="0"/>
                <w:color w:val="auto"/>
                <w:spacing w:val="0"/>
                <w:kern w:val="2"/>
                <w:sz w:val="24"/>
                <w:szCs w:val="24"/>
                <w:shd w:val="clear" w:fill="FFFFFF"/>
                <w:lang w:val="en-US" w:eastAsia="zh-CN" w:bidi="ar-SA"/>
              </w:rPr>
            </w:pPr>
            <w:r>
              <w:rPr>
                <w:rFonts w:hint="default" w:ascii="Times New Roman" w:hAnsi="Times New Roman" w:eastAsia="宋体" w:cs="Times New Roman"/>
                <w:b w:val="0"/>
                <w:bCs w:val="0"/>
                <w:i w:val="0"/>
                <w:caps w:val="0"/>
                <w:color w:val="auto"/>
                <w:spacing w:val="0"/>
                <w:sz w:val="24"/>
                <w:szCs w:val="24"/>
                <w:shd w:val="clear" w:fill="FFFFFF"/>
              </w:rPr>
              <w:t>氧化锌是一种著名的白色的颜料，俗名叫锌白。白色粉末或六角晶系结晶体。无嗅无味，无砂性。受热变为黄色，冷却后重又变为白色加热至1800℃时</w:t>
            </w:r>
            <w:r>
              <w:rPr>
                <w:rFonts w:hint="default" w:ascii="Times New Roman" w:hAnsi="Times New Roman" w:eastAsia="宋体" w:cs="Times New Roman"/>
                <w:b w:val="0"/>
                <w:bCs w:val="0"/>
                <w:i w:val="0"/>
                <w:caps w:val="0"/>
                <w:color w:val="auto"/>
                <w:spacing w:val="0"/>
                <w:sz w:val="24"/>
                <w:szCs w:val="24"/>
                <w:u w:val="none"/>
                <w:shd w:val="clear" w:fill="FFFFFF"/>
              </w:rPr>
              <w:fldChar w:fldCharType="begin"/>
            </w:r>
            <w:r>
              <w:rPr>
                <w:rFonts w:hint="default" w:ascii="Times New Roman" w:hAnsi="Times New Roman" w:eastAsia="宋体" w:cs="Times New Roman"/>
                <w:b w:val="0"/>
                <w:bCs w:val="0"/>
                <w:i w:val="0"/>
                <w:caps w:val="0"/>
                <w:color w:val="auto"/>
                <w:spacing w:val="0"/>
                <w:sz w:val="24"/>
                <w:szCs w:val="24"/>
                <w:u w:val="none"/>
                <w:shd w:val="clear" w:fill="FFFFFF"/>
              </w:rPr>
              <w:instrText xml:space="preserve"> HYPERLINK "https://baike.baidu.com/item/%E5%8D%87%E5%8D%8E/1509241" \t "https://baike.baidu.com/item/%E6%B0%A7%E5%8C%96%E9%94%8C/_blank" </w:instrText>
            </w:r>
            <w:r>
              <w:rPr>
                <w:rFonts w:hint="default" w:ascii="Times New Roman" w:hAnsi="Times New Roman" w:eastAsia="宋体" w:cs="Times New Roman"/>
                <w:b w:val="0"/>
                <w:bCs w:val="0"/>
                <w:i w:val="0"/>
                <w:caps w:val="0"/>
                <w:color w:val="auto"/>
                <w:spacing w:val="0"/>
                <w:sz w:val="24"/>
                <w:szCs w:val="24"/>
                <w:u w:val="none"/>
                <w:shd w:val="clear" w:fill="FFFFFF"/>
              </w:rPr>
              <w:fldChar w:fldCharType="separate"/>
            </w:r>
            <w:r>
              <w:rPr>
                <w:rStyle w:val="19"/>
                <w:rFonts w:hint="default" w:ascii="Times New Roman" w:hAnsi="Times New Roman" w:eastAsia="宋体" w:cs="Times New Roman"/>
                <w:b w:val="0"/>
                <w:bCs w:val="0"/>
                <w:i w:val="0"/>
                <w:caps w:val="0"/>
                <w:color w:val="auto"/>
                <w:spacing w:val="0"/>
                <w:sz w:val="24"/>
                <w:szCs w:val="24"/>
                <w:u w:val="none"/>
                <w:shd w:val="clear" w:fill="FFFFFF"/>
              </w:rPr>
              <w:t>升华</w:t>
            </w:r>
            <w:r>
              <w:rPr>
                <w:rFonts w:hint="default" w:ascii="Times New Roman" w:hAnsi="Times New Roman" w:eastAsia="宋体" w:cs="Times New Roman"/>
                <w:b w:val="0"/>
                <w:bCs w:val="0"/>
                <w:i w:val="0"/>
                <w:caps w:val="0"/>
                <w:color w:val="auto"/>
                <w:spacing w:val="0"/>
                <w:sz w:val="24"/>
                <w:szCs w:val="24"/>
                <w:u w:val="none"/>
                <w:shd w:val="clear" w:fill="FFFFFF"/>
              </w:rPr>
              <w:fldChar w:fldCharType="end"/>
            </w:r>
            <w:r>
              <w:rPr>
                <w:rFonts w:hint="default" w:ascii="Times New Roman" w:hAnsi="Times New Roman" w:eastAsia="宋体" w:cs="Times New Roman"/>
                <w:b w:val="0"/>
                <w:bCs w:val="0"/>
                <w:i w:val="0"/>
                <w:caps w:val="0"/>
                <w:color w:val="auto"/>
                <w:spacing w:val="0"/>
                <w:sz w:val="24"/>
                <w:szCs w:val="24"/>
                <w:shd w:val="clear" w:fill="FFFFFF"/>
              </w:rPr>
              <w:t>。遮盖力是二氧化钛和硫化锌的一半。着色力是碱式碳酸铅的2倍</w:t>
            </w:r>
            <w:r>
              <w:rPr>
                <w:rFonts w:hint="default" w:ascii="Times New Roman" w:hAnsi="Times New Roman" w:eastAsia="宋体" w:cs="Times New Roman"/>
                <w:b w:val="0"/>
                <w:bCs w:val="0"/>
                <w:i w:val="0"/>
                <w:caps w:val="0"/>
                <w:color w:val="auto"/>
                <w:spacing w:val="0"/>
                <w:sz w:val="24"/>
                <w:szCs w:val="24"/>
                <w:shd w:val="clear" w:fill="FFFFFF"/>
                <w:lang w:eastAsia="zh-CN"/>
              </w:rPr>
              <w:t>，</w:t>
            </w:r>
            <w:r>
              <w:rPr>
                <w:rFonts w:hint="default" w:ascii="Times New Roman" w:hAnsi="Times New Roman" w:eastAsia="宋体" w:cs="Times New Roman"/>
                <w:b w:val="0"/>
                <w:bCs w:val="0"/>
                <w:i w:val="0"/>
                <w:caps w:val="0"/>
                <w:color w:val="auto"/>
                <w:spacing w:val="0"/>
                <w:sz w:val="24"/>
                <w:szCs w:val="24"/>
                <w:shd w:val="clear" w:fill="FFFFFF"/>
              </w:rPr>
              <w:t>溶于酸、浓氢氧化碱、氨水和铵盐溶液，不溶于水、乙醇。</w:t>
            </w:r>
            <w:r>
              <w:rPr>
                <w:rFonts w:hint="default" w:ascii="Times New Roman" w:hAnsi="Times New Roman" w:eastAsia="宋体" w:cs="Times New Roman"/>
                <w:b w:val="0"/>
                <w:bCs w:val="0"/>
                <w:i w:val="0"/>
                <w:caps w:val="0"/>
                <w:color w:val="auto"/>
                <w:spacing w:val="0"/>
                <w:sz w:val="24"/>
                <w:szCs w:val="24"/>
                <w:shd w:val="clear" w:fill="FFFFFF"/>
                <w:lang w:eastAsia="zh-CN"/>
              </w:rPr>
              <w:t>熔点</w:t>
            </w:r>
            <w:r>
              <w:rPr>
                <w:rFonts w:hint="default" w:ascii="Times New Roman" w:hAnsi="Times New Roman" w:eastAsia="宋体" w:cs="Times New Roman"/>
                <w:b w:val="0"/>
                <w:bCs w:val="0"/>
                <w:i w:val="0"/>
                <w:caps w:val="0"/>
                <w:color w:val="auto"/>
                <w:spacing w:val="0"/>
                <w:sz w:val="24"/>
                <w:szCs w:val="24"/>
                <w:shd w:val="clear" w:fill="FFFFFF"/>
                <w:lang w:val="en-US" w:eastAsia="zh-CN"/>
              </w:rPr>
              <w:t>1975</w:t>
            </w:r>
            <w:r>
              <w:rPr>
                <w:rFonts w:hint="default" w:ascii="Times New Roman" w:hAnsi="Times New Roman" w:eastAsia="宋体" w:cs="Times New Roman"/>
                <w:b w:val="0"/>
                <w:bCs w:val="0"/>
                <w:color w:val="auto"/>
                <w:sz w:val="24"/>
                <w:szCs w:val="24"/>
                <w:lang w:val="en-US" w:eastAsia="zh-CN"/>
              </w:rPr>
              <w:t>℃，闪点1436℃，</w:t>
            </w:r>
            <w:r>
              <w:rPr>
                <w:rFonts w:hint="default" w:ascii="Times New Roman" w:hAnsi="Times New Roman" w:eastAsia="宋体" w:cs="Times New Roman"/>
                <w:b w:val="0"/>
                <w:bCs w:val="0"/>
                <w:i w:val="0"/>
                <w:caps w:val="0"/>
                <w:color w:val="auto"/>
                <w:spacing w:val="0"/>
                <w:sz w:val="24"/>
                <w:szCs w:val="24"/>
                <w:shd w:val="clear" w:fill="FFFFFF"/>
              </w:rPr>
              <w:t>急性毒性</w:t>
            </w:r>
            <w:r>
              <w:rPr>
                <w:rFonts w:hint="default" w:ascii="Times New Roman" w:hAnsi="Times New Roman" w:eastAsia="宋体" w:cs="Times New Roman"/>
                <w:b w:val="0"/>
                <w:bCs w:val="0"/>
                <w:i w:val="0"/>
                <w:caps w:val="0"/>
                <w:color w:val="auto"/>
                <w:spacing w:val="0"/>
                <w:sz w:val="24"/>
                <w:szCs w:val="24"/>
                <w:u w:val="none"/>
                <w:shd w:val="clear" w:fill="FFFFFF"/>
              </w:rPr>
              <w:fldChar w:fldCharType="begin"/>
            </w:r>
            <w:r>
              <w:rPr>
                <w:rFonts w:hint="default" w:ascii="Times New Roman" w:hAnsi="Times New Roman" w:eastAsia="宋体" w:cs="Times New Roman"/>
                <w:b w:val="0"/>
                <w:bCs w:val="0"/>
                <w:i w:val="0"/>
                <w:caps w:val="0"/>
                <w:color w:val="auto"/>
                <w:spacing w:val="0"/>
                <w:sz w:val="24"/>
                <w:szCs w:val="24"/>
                <w:u w:val="none"/>
                <w:shd w:val="clear" w:fill="FFFFFF"/>
              </w:rPr>
              <w:instrText xml:space="preserve"> HYPERLINK "https://baike.baidu.com/item/LD50" \t "https://baike.baidu.com/item/%E6%B0%A7%E5%8C%96%E9%94%8C/_blank" </w:instrText>
            </w:r>
            <w:r>
              <w:rPr>
                <w:rFonts w:hint="default" w:ascii="Times New Roman" w:hAnsi="Times New Roman" w:eastAsia="宋体" w:cs="Times New Roman"/>
                <w:b w:val="0"/>
                <w:bCs w:val="0"/>
                <w:i w:val="0"/>
                <w:caps w:val="0"/>
                <w:color w:val="auto"/>
                <w:spacing w:val="0"/>
                <w:sz w:val="24"/>
                <w:szCs w:val="24"/>
                <w:u w:val="none"/>
                <w:shd w:val="clear" w:fill="FFFFFF"/>
              </w:rPr>
              <w:fldChar w:fldCharType="separate"/>
            </w:r>
            <w:r>
              <w:rPr>
                <w:rStyle w:val="19"/>
                <w:rFonts w:hint="default" w:ascii="Times New Roman" w:hAnsi="Times New Roman" w:eastAsia="宋体" w:cs="Times New Roman"/>
                <w:b w:val="0"/>
                <w:bCs w:val="0"/>
                <w:i w:val="0"/>
                <w:caps w:val="0"/>
                <w:color w:val="auto"/>
                <w:spacing w:val="0"/>
                <w:sz w:val="24"/>
                <w:szCs w:val="24"/>
                <w:u w:val="none"/>
                <w:shd w:val="clear" w:fill="FFFFFF"/>
              </w:rPr>
              <w:t>LD</w:t>
            </w:r>
            <w:r>
              <w:rPr>
                <w:rStyle w:val="19"/>
                <w:rFonts w:hint="default" w:ascii="Times New Roman" w:hAnsi="Times New Roman" w:eastAsia="宋体" w:cs="Times New Roman"/>
                <w:b w:val="0"/>
                <w:bCs w:val="0"/>
                <w:i w:val="0"/>
                <w:caps w:val="0"/>
                <w:color w:val="auto"/>
                <w:spacing w:val="0"/>
                <w:sz w:val="24"/>
                <w:szCs w:val="24"/>
                <w:u w:val="none"/>
                <w:shd w:val="clear" w:fill="FFFFFF"/>
                <w:vertAlign w:val="subscript"/>
              </w:rPr>
              <w:t>50</w:t>
            </w:r>
            <w:r>
              <w:rPr>
                <w:rFonts w:hint="default" w:ascii="Times New Roman" w:hAnsi="Times New Roman" w:eastAsia="宋体" w:cs="Times New Roman"/>
                <w:b w:val="0"/>
                <w:bCs w:val="0"/>
                <w:i w:val="0"/>
                <w:caps w:val="0"/>
                <w:color w:val="auto"/>
                <w:spacing w:val="0"/>
                <w:sz w:val="24"/>
                <w:szCs w:val="24"/>
                <w:u w:val="none"/>
                <w:shd w:val="clear" w:fill="FFFFFF"/>
              </w:rPr>
              <w:fldChar w:fldCharType="end"/>
            </w:r>
            <w:r>
              <w:rPr>
                <w:rFonts w:hint="default" w:ascii="Times New Roman" w:hAnsi="Times New Roman" w:eastAsia="宋体" w:cs="Times New Roman"/>
                <w:b w:val="0"/>
                <w:bCs w:val="0"/>
                <w:i w:val="0"/>
                <w:caps w:val="0"/>
                <w:color w:val="auto"/>
                <w:spacing w:val="0"/>
                <w:sz w:val="24"/>
                <w:szCs w:val="24"/>
                <w:shd w:val="clear" w:fill="FFFFFF"/>
              </w:rPr>
              <w:t>：7950mg/kg（小鼠经口）。吸入氧化锌烟尘引起锌铸造热。其症状有口内金属味、口渴、咽干、食欲不振、胸部发紧、干咳、头痛、头晕、四肢酸痛、高热恶寒。大量氧化锌粉尘可阻塞皮脂腺管和引起皮肤丘疹、湿疹。</w:t>
            </w:r>
            <w:r>
              <w:rPr>
                <w:rFonts w:hint="default" w:ascii="Times New Roman" w:hAnsi="Times New Roman" w:eastAsia="宋体" w:cs="Times New Roman"/>
                <w:b w:val="0"/>
                <w:bCs w:val="0"/>
                <w:i w:val="0"/>
                <w:caps w:val="0"/>
                <w:color w:val="auto"/>
                <w:spacing w:val="0"/>
                <w:kern w:val="0"/>
                <w:sz w:val="24"/>
                <w:szCs w:val="24"/>
                <w:shd w:val="clear" w:fill="FFFFFF"/>
                <w:lang w:val="en-US" w:eastAsia="zh-CN" w:bidi="ar"/>
              </w:rPr>
              <w:t>吸入氧化锌烟尘4～8h后，可出现金属烟热。</w:t>
            </w:r>
          </w:p>
          <w:p>
            <w:pPr>
              <w:keepNext w:val="0"/>
              <w:keepLines w:val="0"/>
              <w:pageBreakBefore w:val="0"/>
              <w:widowControl w:val="0"/>
              <w:suppressLineNumbers w:val="0"/>
              <w:kinsoku/>
              <w:wordWrap w:val="0"/>
              <w:overflowPunct/>
              <w:topLinePunct w:val="0"/>
              <w:bidi w:val="0"/>
              <w:snapToGrid/>
              <w:spacing w:beforeAutospacing="0" w:afterAutospacing="0" w:line="360" w:lineRule="auto"/>
              <w:ind w:left="0" w:right="0" w:firstLine="480" w:firstLineChars="200"/>
              <w:textAlignment w:val="auto"/>
              <w:rPr>
                <w:rFonts w:hint="default" w:ascii="Times New Roman" w:hAnsi="Times New Roman" w:eastAsia="宋体" w:cs="Times New Roman"/>
                <w:b w:val="0"/>
                <w:bCs w:val="0"/>
                <w:sz w:val="24"/>
                <w:lang w:eastAsia="zh-CN"/>
              </w:rPr>
            </w:pPr>
            <w:r>
              <w:rPr>
                <w:rFonts w:hint="default" w:ascii="Times New Roman" w:hAnsi="Times New Roman" w:eastAsia="宋体" w:cs="Times New Roman"/>
                <w:b w:val="0"/>
                <w:bCs w:val="0"/>
                <w:sz w:val="24"/>
              </w:rPr>
              <w:t>（</w:t>
            </w:r>
            <w:r>
              <w:rPr>
                <w:rFonts w:hint="default" w:ascii="Times New Roman" w:hAnsi="Times New Roman" w:eastAsia="宋体" w:cs="Times New Roman"/>
                <w:b w:val="0"/>
                <w:bCs w:val="0"/>
                <w:sz w:val="24"/>
                <w:lang w:val="en-US" w:eastAsia="zh-CN"/>
              </w:rPr>
              <w:t>5</w:t>
            </w:r>
            <w:r>
              <w:rPr>
                <w:rFonts w:hint="default" w:ascii="Times New Roman" w:hAnsi="Times New Roman" w:eastAsia="宋体" w:cs="Times New Roman"/>
                <w:b w:val="0"/>
                <w:bCs w:val="0"/>
                <w:sz w:val="24"/>
              </w:rPr>
              <w:t>）</w:t>
            </w:r>
            <w:r>
              <w:rPr>
                <w:rFonts w:hint="default" w:ascii="Times New Roman" w:hAnsi="Times New Roman" w:eastAsia="宋体" w:cs="Times New Roman"/>
                <w:b w:val="0"/>
                <w:bCs w:val="0"/>
                <w:sz w:val="24"/>
                <w:lang w:eastAsia="zh-CN"/>
              </w:rPr>
              <w:t>三氧化二锑</w:t>
            </w:r>
          </w:p>
          <w:p>
            <w:pPr>
              <w:pStyle w:val="2"/>
              <w:keepNext w:val="0"/>
              <w:keepLines w:val="0"/>
              <w:pageBreakBefore w:val="0"/>
              <w:widowControl w:val="0"/>
              <w:shd w:val="clear"/>
              <w:kinsoku/>
              <w:wordWrap w:val="0"/>
              <w:overflowPunct/>
              <w:topLinePunct w:val="0"/>
              <w:bidi w:val="0"/>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val="0"/>
                <w:bCs w:val="0"/>
                <w:color w:val="auto"/>
                <w:sz w:val="24"/>
                <w:lang w:eastAsia="zh-CN"/>
              </w:rPr>
              <w:t>三氧化二锑作为阻燃剂使用，本次扩建项目所用阻燃剂和现有项目一致，均由江西省铜鼓县三源化工有限责任公司提供，根据厂家提供的</w:t>
            </w:r>
            <w:r>
              <w:rPr>
                <w:rFonts w:hint="default" w:ascii="Times New Roman" w:hAnsi="Times New Roman" w:eastAsia="宋体" w:cs="Times New Roman"/>
                <w:b w:val="0"/>
                <w:bCs w:val="0"/>
                <w:color w:val="auto"/>
                <w:sz w:val="24"/>
                <w:lang w:val="en-US" w:eastAsia="zh-CN"/>
              </w:rPr>
              <w:t>产品质量说明书</w:t>
            </w:r>
            <w:r>
              <w:rPr>
                <w:rFonts w:hint="default" w:ascii="Times New Roman" w:hAnsi="Times New Roman" w:eastAsia="宋体" w:cs="Times New Roman"/>
                <w:b w:val="0"/>
                <w:bCs w:val="0"/>
                <w:color w:val="auto"/>
                <w:sz w:val="24"/>
                <w:highlight w:val="none"/>
                <w:lang w:val="en-US" w:eastAsia="zh-CN"/>
              </w:rPr>
              <w:t>（见附件9），阻燃剂中三氧化二锑含量99.62%（折合锑含量约83.21%）、三氧化二砷</w:t>
            </w:r>
            <w:r>
              <w:rPr>
                <w:rFonts w:hint="default" w:ascii="Times New Roman" w:hAnsi="Times New Roman" w:eastAsia="宋体" w:cs="Times New Roman"/>
                <w:b w:val="0"/>
                <w:bCs w:val="0"/>
                <w:color w:val="auto"/>
                <w:sz w:val="24"/>
                <w:lang w:val="en-US" w:eastAsia="zh-CN"/>
              </w:rPr>
              <w:t>含量约为0.022%（折合砷含量0.017%）、</w:t>
            </w:r>
            <w:r>
              <w:rPr>
                <w:rFonts w:hint="default" w:ascii="Times New Roman" w:hAnsi="Times New Roman" w:eastAsia="宋体" w:cs="Times New Roman"/>
                <w:b w:val="0"/>
                <w:bCs w:val="0"/>
                <w:color w:val="auto"/>
                <w:sz w:val="24"/>
                <w:highlight w:val="none"/>
                <w:lang w:val="en-US" w:eastAsia="zh-CN"/>
              </w:rPr>
              <w:t>氧化铅含量约0.042%（折合铅含量0.039%）。</w:t>
            </w:r>
          </w:p>
        </w:tc>
      </w:tr>
      <w:tr>
        <w:tblPrEx>
          <w:tblCellMar>
            <w:top w:w="0" w:type="dxa"/>
            <w:left w:w="0" w:type="dxa"/>
            <w:bottom w:w="0" w:type="dxa"/>
            <w:right w:w="0" w:type="dxa"/>
          </w:tblCellMar>
        </w:tblPrEx>
        <w:trPr>
          <w:gridBefore w:val="1"/>
          <w:wBefore w:w="5" w:type="dxa"/>
          <w:trHeight w:val="4800" w:hRule="atLeast"/>
          <w:jc w:val="center"/>
        </w:trPr>
        <w:tc>
          <w:tcPr>
            <w:tcW w:w="1713" w:type="dxa"/>
            <w:tcBorders>
              <w:top w:val="single" w:color="auto" w:sz="4"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b/>
                <w:color w:val="auto"/>
                <w:highlight w:val="none"/>
              </w:rPr>
            </w:pPr>
            <w:r>
              <w:rPr>
                <w:rFonts w:hint="default" w:ascii="Times New Roman" w:hAnsi="Times New Roman" w:cs="Times New Roman"/>
                <w:color w:val="auto"/>
                <w:highlight w:val="none"/>
              </w:rPr>
              <w:br w:type="page"/>
            </w:r>
            <w:r>
              <w:rPr>
                <w:rFonts w:hint="default" w:ascii="Times New Roman" w:hAnsi="Times New Roman" w:cs="Times New Roman"/>
                <w:b/>
                <w:color w:val="auto"/>
                <w:highlight w:val="none"/>
              </w:rPr>
              <w:t>主要工艺生产流程</w:t>
            </w:r>
          </w:p>
        </w:tc>
        <w:tc>
          <w:tcPr>
            <w:tcW w:w="7886" w:type="dxa"/>
            <w:gridSpan w:val="3"/>
            <w:tcBorders>
              <w:top w:val="single" w:color="auto" w:sz="4" w:space="0"/>
              <w:left w:val="single" w:color="000000" w:sz="6" w:space="0"/>
              <w:bottom w:val="single" w:color="000000" w:sz="6" w:space="0"/>
              <w:right w:val="single" w:color="000000" w:sz="6" w:space="0"/>
            </w:tcBorders>
            <w:shd w:val="clear" w:color="auto" w:fill="FFFFFF"/>
          </w:tcPr>
          <w:p>
            <w:pPr>
              <w:keepNext w:val="0"/>
              <w:keepLines w:val="0"/>
              <w:pageBreakBefore w:val="0"/>
              <w:widowControl w:val="0"/>
              <w:shd w:val="clear"/>
              <w:kinsoku w:val="0"/>
              <w:wordWrap w:val="0"/>
              <w:overflowPunct/>
              <w:topLinePunct w:val="0"/>
              <w:autoSpaceDE w:val="0"/>
              <w:autoSpaceDN w:val="0"/>
              <w:bidi w:val="0"/>
              <w:adjustRightInd w:val="0"/>
              <w:snapToGrid/>
              <w:spacing w:line="360" w:lineRule="auto"/>
              <w:jc w:val="center"/>
              <w:textAlignment w:val="auto"/>
              <w:rPr>
                <w:rFonts w:hint="default" w:ascii="Times New Roman" w:hAnsi="Times New Roman" w:cs="Times New Roman"/>
                <w:b/>
                <w:color w:val="auto"/>
                <w:kern w:val="0"/>
                <w:sz w:val="24"/>
                <w:highlight w:val="none"/>
                <w:lang w:val="en-US" w:eastAsia="zh-CN"/>
              </w:rPr>
            </w:pPr>
            <w:r>
              <w:rPr>
                <w:rFonts w:hint="default" w:ascii="Times New Roman" w:hAnsi="Times New Roman" w:cs="Times New Roman"/>
              </w:rPr>
              <w:object>
                <v:shape id="_x0000_i1025" o:spt="75" type="#_x0000_t75" style="height:61.8pt;width:419.1pt;" o:ole="t" filled="f" o:preferrelative="t" stroked="f" coordsize="21600,21600">
                  <v:path/>
                  <v:fill on="f" focussize="0,0"/>
                  <v:stroke on="f"/>
                  <v:imagedata r:id="rId13" o:title=""/>
                  <o:lock v:ext="edit" aspectratio="t"/>
                  <w10:wrap type="none"/>
                  <w10:anchorlock/>
                </v:shape>
                <o:OLEObject Type="Embed" ProgID="Visio.Drawing.11" ShapeID="_x0000_i1025" DrawAspect="Content" ObjectID="_1468075725" r:id="rId12">
                  <o:LockedField>false</o:LockedField>
                </o:OLEObject>
              </w:object>
            </w:r>
            <w:r>
              <w:rPr>
                <w:rFonts w:hint="default" w:ascii="Times New Roman" w:hAnsi="Times New Roman" w:cs="Times New Roman"/>
                <w:b/>
                <w:color w:val="auto"/>
                <w:kern w:val="0"/>
                <w:sz w:val="24"/>
                <w:highlight w:val="none"/>
                <w:lang w:val="en-US" w:eastAsia="zh-CN"/>
              </w:rPr>
              <w:t>图1 研发工艺流程</w:t>
            </w:r>
          </w:p>
          <w:p>
            <w:pPr>
              <w:keepNext w:val="0"/>
              <w:keepLines w:val="0"/>
              <w:pageBreakBefore w:val="0"/>
              <w:widowControl w:val="0"/>
              <w:shd w:val="clear"/>
              <w:kinsoku w:val="0"/>
              <w:wordWrap w:val="0"/>
              <w:overflowPunct/>
              <w:topLinePunct w:val="0"/>
              <w:autoSpaceDE w:val="0"/>
              <w:autoSpaceDN w:val="0"/>
              <w:bidi w:val="0"/>
              <w:adjustRightInd w:val="0"/>
              <w:snapToGrid/>
              <w:spacing w:line="360" w:lineRule="auto"/>
              <w:ind w:firstLine="482" w:firstLineChars="200"/>
              <w:jc w:val="left"/>
              <w:textAlignment w:val="auto"/>
              <w:rPr>
                <w:rFonts w:hint="default" w:ascii="Times New Roman" w:hAnsi="Times New Roman" w:cs="Times New Roman"/>
                <w:b/>
                <w:color w:val="auto"/>
                <w:kern w:val="0"/>
                <w:sz w:val="24"/>
                <w:highlight w:val="none"/>
              </w:rPr>
            </w:pPr>
            <w:r>
              <w:rPr>
                <w:rFonts w:hint="default" w:ascii="Times New Roman" w:hAnsi="Times New Roman" w:cs="Times New Roman"/>
                <w:b/>
                <w:color w:val="auto"/>
                <w:kern w:val="0"/>
                <w:sz w:val="24"/>
                <w:highlight w:val="none"/>
                <w:lang w:eastAsia="zh-CN"/>
              </w:rPr>
              <w:t>研发</w:t>
            </w:r>
            <w:r>
              <w:rPr>
                <w:rFonts w:hint="default" w:ascii="Times New Roman" w:hAnsi="Times New Roman" w:cs="Times New Roman"/>
                <w:b/>
                <w:color w:val="auto"/>
                <w:kern w:val="0"/>
                <w:sz w:val="24"/>
                <w:highlight w:val="none"/>
              </w:rPr>
              <w:t>流程</w:t>
            </w:r>
            <w:r>
              <w:rPr>
                <w:rFonts w:hint="default" w:ascii="Times New Roman" w:hAnsi="Times New Roman" w:cs="Times New Roman"/>
                <w:b/>
                <w:color w:val="auto"/>
                <w:kern w:val="0"/>
                <w:sz w:val="24"/>
                <w:highlight w:val="none"/>
                <w:lang w:val="en-US" w:eastAsia="zh-CN"/>
              </w:rPr>
              <w:t>简介</w:t>
            </w:r>
            <w:r>
              <w:rPr>
                <w:rFonts w:hint="default" w:ascii="Times New Roman" w:hAnsi="Times New Roman" w:cs="Times New Roman"/>
                <w:b/>
                <w:color w:val="auto"/>
                <w:kern w:val="0"/>
                <w:sz w:val="24"/>
                <w:highlight w:val="none"/>
              </w:rPr>
              <w:t>：</w:t>
            </w:r>
          </w:p>
          <w:p>
            <w:pPr>
              <w:pStyle w:val="3"/>
              <w:keepNext w:val="0"/>
              <w:keepLines w:val="0"/>
              <w:pageBreakBefore w:val="0"/>
              <w:widowControl w:val="0"/>
              <w:numPr>
                <w:ilvl w:val="0"/>
                <w:numId w:val="3"/>
              </w:numPr>
              <w:shd w:val="clear"/>
              <w:kinsoku/>
              <w:wordWrap w:val="0"/>
              <w:overflowPunct/>
              <w:topLinePunct w:val="0"/>
              <w:autoSpaceDE/>
              <w:autoSpaceDN/>
              <w:bidi w:val="0"/>
              <w:adjustRightInd/>
              <w:snapToGrid/>
              <w:spacing w:before="0" w:after="0" w:line="360" w:lineRule="auto"/>
              <w:ind w:leftChars="0"/>
              <w:jc w:val="both"/>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项目立项：根据市场发展趋势提出新产品的性能要求，研发部门根据市场部门的要求对产品进行创新涉及，提交项目建议书和可行性评估报告，交由公司领导层审批，通过后即可立项。</w:t>
            </w:r>
          </w:p>
          <w:p>
            <w:pPr>
              <w:pStyle w:val="3"/>
              <w:keepNext w:val="0"/>
              <w:keepLines w:val="0"/>
              <w:pageBreakBefore w:val="0"/>
              <w:widowControl w:val="0"/>
              <w:numPr>
                <w:ilvl w:val="0"/>
                <w:numId w:val="3"/>
              </w:numPr>
              <w:shd w:val="clear"/>
              <w:kinsoku/>
              <w:wordWrap w:val="0"/>
              <w:overflowPunct/>
              <w:topLinePunct w:val="0"/>
              <w:autoSpaceDE/>
              <w:autoSpaceDN/>
              <w:bidi w:val="0"/>
              <w:adjustRightInd/>
              <w:snapToGrid/>
              <w:spacing w:before="0" w:after="0" w:line="360" w:lineRule="auto"/>
              <w:ind w:leftChars="0"/>
              <w:jc w:val="both"/>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产品设计：技术中心进行初步市场调研并制定方案，报项目评审小组评审通过后即可进行产品细化设计，包括成分、克重、尺寸及其他性能参数及规范，再联合测试部门、质检部门集体商定后即可确定设计参数。</w:t>
            </w:r>
          </w:p>
          <w:p>
            <w:pPr>
              <w:pStyle w:val="3"/>
              <w:keepNext w:val="0"/>
              <w:keepLines w:val="0"/>
              <w:pageBreakBefore w:val="0"/>
              <w:widowControl w:val="0"/>
              <w:numPr>
                <w:ilvl w:val="0"/>
                <w:numId w:val="3"/>
              </w:numPr>
              <w:shd w:val="clear"/>
              <w:kinsoku/>
              <w:wordWrap w:val="0"/>
              <w:overflowPunct/>
              <w:topLinePunct w:val="0"/>
              <w:autoSpaceDE/>
              <w:autoSpaceDN/>
              <w:bidi w:val="0"/>
              <w:adjustRightInd/>
              <w:snapToGrid/>
              <w:spacing w:before="0" w:after="0" w:line="360" w:lineRule="auto"/>
              <w:ind w:leftChars="0"/>
              <w:jc w:val="both"/>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产品制作及小试：根据确定的设计参数召开新产品试作会议，进行工艺流程规划后进行试制，后报送测试部门进行检测，对产品进行综合评估，通过后即可进行小试，试制及小试过程主要涉及到压延以及贴合工艺，主要流程为：混料——压延——贴合——测试，现有项目生产工艺一致，但由于试制及小试设备均为小型设备，加热采用电加热工艺，试制及小试的规模一般单个品种产品规模为1-5m</w:t>
            </w:r>
            <w:r>
              <w:rPr>
                <w:rFonts w:hint="default" w:ascii="Times New Roman" w:hAnsi="Times New Roman"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lang w:val="en-US" w:eastAsia="zh-CN"/>
              </w:rPr>
              <w:t>，年试制及小试品种不超过50种。此外，试制过程还可能涉及部分产品的logo印刷，印刷过程采用水性油墨。</w:t>
            </w:r>
          </w:p>
          <w:p>
            <w:pPr>
              <w:pStyle w:val="3"/>
              <w:keepNext w:val="0"/>
              <w:keepLines w:val="0"/>
              <w:pageBreakBefore w:val="0"/>
              <w:widowControl w:val="0"/>
              <w:numPr>
                <w:ilvl w:val="0"/>
                <w:numId w:val="3"/>
              </w:numPr>
              <w:shd w:val="clear"/>
              <w:kinsoku/>
              <w:wordWrap w:val="0"/>
              <w:overflowPunct/>
              <w:topLinePunct w:val="0"/>
              <w:autoSpaceDE/>
              <w:autoSpaceDN/>
              <w:bidi w:val="0"/>
              <w:adjustRightInd/>
              <w:snapToGrid/>
              <w:spacing w:before="0" w:after="0" w:line="360" w:lineRule="auto"/>
              <w:ind w:leftChars="0"/>
              <w:jc w:val="both"/>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项目结案：小试产品通过检测等评估后即可对研发项目进行结案。</w:t>
            </w:r>
          </w:p>
        </w:tc>
      </w:tr>
      <w:tr>
        <w:tblPrEx>
          <w:tblCellMar>
            <w:top w:w="0" w:type="dxa"/>
            <w:left w:w="0" w:type="dxa"/>
            <w:bottom w:w="0" w:type="dxa"/>
            <w:right w:w="0" w:type="dxa"/>
          </w:tblCellMar>
        </w:tblPrEx>
        <w:trPr>
          <w:trHeight w:val="996" w:hRule="atLeast"/>
          <w:jc w:val="center"/>
        </w:trPr>
        <w:tc>
          <w:tcPr>
            <w:tcW w:w="1718" w:type="dxa"/>
            <w:gridSpan w:val="2"/>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b/>
                <w:color w:val="auto"/>
                <w:highlight w:val="none"/>
              </w:rPr>
              <w:t>建设内容及规模</w:t>
            </w:r>
          </w:p>
        </w:tc>
        <w:tc>
          <w:tcPr>
            <w:tcW w:w="7886" w:type="dxa"/>
            <w:gridSpan w:val="3"/>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为</w:t>
            </w:r>
            <w:r>
              <w:rPr>
                <w:rFonts w:hint="default" w:ascii="Times New Roman" w:hAnsi="Times New Roman" w:cs="Times New Roman"/>
                <w:szCs w:val="28"/>
              </w:rPr>
              <w:t>快速高效满足市场需求，同时强调成本降低及创新，着重建设快速研发及前沿研究能力，使公司拥有快速专业的研发体系，拥有自动高精度的加工工艺及准确可靠的测试评价系统，在柔性材料及产品领域达到领先水平</w:t>
            </w:r>
            <w:r>
              <w:rPr>
                <w:rFonts w:hint="default" w:ascii="Times New Roman" w:hAnsi="Times New Roman" w:cs="Times New Roman"/>
                <w:color w:val="auto"/>
                <w:highlight w:val="none"/>
              </w:rPr>
              <w:t>，</w:t>
            </w:r>
            <w:r>
              <w:rPr>
                <w:rFonts w:hint="default" w:ascii="Times New Roman" w:hAnsi="Times New Roman" w:cs="Times New Roman"/>
                <w:color w:val="auto"/>
                <w:sz w:val="24"/>
                <w:highlight w:val="none"/>
                <w:lang w:eastAsia="zh-CN"/>
              </w:rPr>
              <w:t>浙江明士达股份有限公司</w:t>
            </w:r>
            <w:r>
              <w:rPr>
                <w:rFonts w:hint="default" w:ascii="Times New Roman" w:hAnsi="Times New Roman" w:cs="Times New Roman"/>
                <w:color w:val="auto"/>
                <w:highlight w:val="none"/>
              </w:rPr>
              <w:t>拟投入</w:t>
            </w:r>
            <w:r>
              <w:rPr>
                <w:rFonts w:hint="default" w:ascii="Times New Roman" w:hAnsi="Times New Roman" w:cs="Times New Roman"/>
                <w:color w:val="auto"/>
                <w:highlight w:val="none"/>
                <w:lang w:val="en-US" w:eastAsia="zh-CN"/>
              </w:rPr>
              <w:t>4950</w:t>
            </w:r>
            <w:r>
              <w:rPr>
                <w:rFonts w:hint="default" w:ascii="Times New Roman" w:hAnsi="Times New Roman" w:cs="Times New Roman"/>
                <w:color w:val="auto"/>
                <w:highlight w:val="none"/>
              </w:rPr>
              <w:t>万元，</w:t>
            </w:r>
            <w:r>
              <w:rPr>
                <w:rFonts w:hint="default" w:ascii="Times New Roman" w:hAnsi="Times New Roman" w:cs="Times New Roman"/>
                <w:color w:val="auto"/>
                <w:highlight w:val="none"/>
                <w:lang w:val="en-US" w:eastAsia="zh-CN"/>
              </w:rPr>
              <w:t>利用企业新厂区在建综合车间，</w:t>
            </w:r>
            <w:r>
              <w:rPr>
                <w:rFonts w:hint="default" w:ascii="Times New Roman" w:hAnsi="Times New Roman" w:cs="Times New Roman"/>
                <w:color w:val="auto"/>
                <w:highlight w:val="none"/>
                <w:lang w:eastAsia="zh-CN"/>
              </w:rPr>
              <w:t>进行环保柔性材料及产品研发中心建设</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项目劳动定员</w:t>
            </w:r>
            <w:r>
              <w:rPr>
                <w:rFonts w:hint="default" w:ascii="Times New Roman" w:hAnsi="Times New Roman" w:cs="Times New Roman"/>
                <w:color w:val="auto"/>
                <w:highlight w:val="none"/>
                <w:lang w:val="en-US" w:eastAsia="zh-CN"/>
              </w:rPr>
              <w:t>10人，一班制运行（8:00-18:00），年工作300天</w:t>
            </w:r>
            <w:r>
              <w:rPr>
                <w:rFonts w:hint="default" w:ascii="Times New Roman" w:hAnsi="Times New Roman" w:cs="Times New Roman"/>
                <w:color w:val="auto"/>
                <w:highlight w:val="none"/>
              </w:rPr>
              <w:t>。</w:t>
            </w:r>
          </w:p>
        </w:tc>
      </w:tr>
      <w:tr>
        <w:tblPrEx>
          <w:tblCellMar>
            <w:top w:w="0" w:type="dxa"/>
            <w:left w:w="0" w:type="dxa"/>
            <w:bottom w:w="0" w:type="dxa"/>
            <w:right w:w="0" w:type="dxa"/>
          </w:tblCellMar>
        </w:tblPrEx>
        <w:trPr>
          <w:trHeight w:val="5771" w:hRule="atLeast"/>
          <w:jc w:val="center"/>
        </w:trPr>
        <w:tc>
          <w:tcPr>
            <w:tcW w:w="1718" w:type="dxa"/>
            <w:gridSpan w:val="2"/>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原</w:t>
            </w:r>
            <w:r>
              <w:rPr>
                <w:rFonts w:hint="default" w:ascii="Times New Roman" w:hAnsi="Times New Roman" w:cs="Times New Roman"/>
                <w:b/>
                <w:color w:val="auto"/>
                <w:highlight w:val="none"/>
              </w:rPr>
              <w:t>有项目环境影响</w:t>
            </w:r>
          </w:p>
        </w:tc>
        <w:tc>
          <w:tcPr>
            <w:tcW w:w="7886" w:type="dxa"/>
            <w:gridSpan w:val="3"/>
            <w:tcBorders>
              <w:top w:val="single" w:color="000000" w:sz="6" w:space="0"/>
              <w:left w:val="single" w:color="000000" w:sz="6" w:space="0"/>
              <w:bottom w:val="single" w:color="000000" w:sz="6" w:space="0"/>
              <w:right w:val="single" w:color="000000" w:sz="6" w:space="0"/>
            </w:tcBorders>
            <w:shd w:val="clear" w:color="auto" w:fill="FFFFFF"/>
            <w:vAlign w:val="center"/>
          </w:tcPr>
          <w:p>
            <w:pPr>
              <w:pStyle w:val="2"/>
              <w:spacing w:line="348" w:lineRule="auto"/>
              <w:ind w:firstLine="479"/>
              <w:rPr>
                <w:rFonts w:hint="default" w:ascii="Times New Roman" w:hAnsi="Times New Roman" w:cs="Times New Roman"/>
                <w:sz w:val="24"/>
                <w:szCs w:val="24"/>
                <w:lang w:eastAsia="zh-CN"/>
              </w:rPr>
            </w:pPr>
            <w:r>
              <w:rPr>
                <w:rFonts w:hint="default" w:ascii="Times New Roman" w:hAnsi="Times New Roman" w:cs="Times New Roman"/>
                <w:color w:val="auto"/>
                <w:kern w:val="0"/>
                <w:sz w:val="24"/>
                <w:szCs w:val="24"/>
                <w:lang w:eastAsia="zh-CN"/>
              </w:rPr>
              <w:t>浙江明士达股份有限公司前身系成立于</w:t>
            </w:r>
            <w:r>
              <w:rPr>
                <w:rFonts w:hint="default" w:ascii="Times New Roman" w:hAnsi="Times New Roman" w:cs="Times New Roman"/>
                <w:color w:val="auto"/>
                <w:kern w:val="0"/>
                <w:sz w:val="24"/>
                <w:szCs w:val="24"/>
                <w:lang w:val="en-US" w:eastAsia="zh-CN"/>
              </w:rPr>
              <w:t>2002年的</w:t>
            </w:r>
            <w:r>
              <w:rPr>
                <w:rFonts w:hint="default" w:ascii="Times New Roman" w:hAnsi="Times New Roman" w:cs="Times New Roman"/>
                <w:sz w:val="24"/>
                <w:szCs w:val="24"/>
              </w:rPr>
              <w:t>浙江明士达经编涂层有限公司</w:t>
            </w:r>
            <w:r>
              <w:rPr>
                <w:rFonts w:hint="default" w:ascii="Times New Roman" w:hAnsi="Times New Roman" w:cs="Times New Roman"/>
                <w:sz w:val="24"/>
                <w:szCs w:val="24"/>
                <w:lang w:eastAsia="zh-CN"/>
              </w:rPr>
              <w:t>，后经多次更名，并最终于</w:t>
            </w:r>
            <w:r>
              <w:rPr>
                <w:rFonts w:hint="default" w:ascii="Times New Roman" w:hAnsi="Times New Roman" w:cs="Times New Roman"/>
                <w:sz w:val="24"/>
                <w:szCs w:val="24"/>
                <w:lang w:val="en-US" w:eastAsia="zh-CN"/>
              </w:rPr>
              <w:t>2020年5月变更为现用名称，现有新、老两个厂区，中间隔宋顾大桥港，现有经审批生产规模如下：</w:t>
            </w:r>
          </w:p>
          <w:p>
            <w:pPr>
              <w:keepNext w:val="0"/>
              <w:keepLines w:val="0"/>
              <w:suppressLineNumbers w:val="0"/>
              <w:spacing w:before="0" w:beforeAutospacing="0" w:after="0" w:afterAutospacing="0"/>
              <w:ind w:left="0" w:right="0"/>
              <w:jc w:val="center"/>
              <w:rPr>
                <w:rFonts w:hint="default" w:ascii="Times New Roman" w:hAnsi="Times New Roman" w:cs="Times New Roman"/>
                <w:b/>
                <w:sz w:val="24"/>
                <w:szCs w:val="32"/>
              </w:rPr>
            </w:pPr>
            <w:r>
              <w:rPr>
                <w:rFonts w:hint="default" w:ascii="Times New Roman" w:hAnsi="Times New Roman" w:cs="Times New Roman"/>
                <w:b/>
                <w:sz w:val="24"/>
                <w:szCs w:val="32"/>
              </w:rPr>
              <w:t>表</w:t>
            </w:r>
            <w:r>
              <w:rPr>
                <w:rFonts w:hint="default" w:ascii="Times New Roman" w:hAnsi="Times New Roman" w:cs="Times New Roman"/>
                <w:b/>
                <w:sz w:val="24"/>
                <w:szCs w:val="32"/>
                <w:lang w:val="en-US" w:eastAsia="zh-CN"/>
              </w:rPr>
              <w:t>3</w:t>
            </w:r>
            <w:r>
              <w:rPr>
                <w:rFonts w:hint="default" w:ascii="Times New Roman" w:hAnsi="Times New Roman" w:cs="Times New Roman"/>
                <w:b/>
                <w:sz w:val="24"/>
                <w:szCs w:val="32"/>
              </w:rPr>
              <w:t xml:space="preserve"> 历次项目环评审批及验收情况表</w:t>
            </w:r>
          </w:p>
          <w:tbl>
            <w:tblPr>
              <w:tblStyle w:val="15"/>
              <w:tblW w:w="7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3043"/>
              <w:gridCol w:w="40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noWrap w:val="0"/>
                  <w:tcMar>
                    <w:left w:w="28" w:type="dxa"/>
                    <w:right w:w="28" w:type="dxa"/>
                  </w:tcMar>
                  <w:vAlign w:val="center"/>
                </w:tcPr>
                <w:p>
                  <w:pPr>
                    <w:keepNext w:val="0"/>
                    <w:keepLines w:val="0"/>
                    <w:suppressLineNumbers w:val="0"/>
                    <w:tabs>
                      <w:tab w:val="left" w:pos="6900"/>
                    </w:tabs>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rPr>
                    <w:t>序号</w:t>
                  </w:r>
                </w:p>
              </w:tc>
              <w:tc>
                <w:tcPr>
                  <w:tcW w:w="3043" w:type="dxa"/>
                  <w:noWrap w:val="0"/>
                  <w:tcMar>
                    <w:left w:w="28" w:type="dxa"/>
                    <w:right w:w="28" w:type="dxa"/>
                  </w:tcMar>
                  <w:vAlign w:val="center"/>
                </w:tcPr>
                <w:p>
                  <w:pPr>
                    <w:keepNext w:val="0"/>
                    <w:keepLines w:val="0"/>
                    <w:suppressLineNumbers w:val="0"/>
                    <w:tabs>
                      <w:tab w:val="left" w:pos="6900"/>
                    </w:tabs>
                    <w:spacing w:before="0" w:beforeAutospacing="0" w:after="0" w:afterAutospacing="0"/>
                    <w:ind w:left="-120" w:leftChars="-50" w:right="-120" w:rightChars="-50"/>
                    <w:jc w:val="center"/>
                    <w:rPr>
                      <w:rFonts w:hint="default" w:ascii="Times New Roman" w:hAnsi="Times New Roman" w:cs="Times New Roman"/>
                      <w:b/>
                      <w:bCs/>
                      <w:sz w:val="21"/>
                      <w:szCs w:val="21"/>
                    </w:rPr>
                  </w:pPr>
                  <w:r>
                    <w:rPr>
                      <w:rFonts w:hint="default" w:ascii="Times New Roman" w:hAnsi="Times New Roman" w:cs="Times New Roman"/>
                      <w:b/>
                      <w:bCs/>
                      <w:sz w:val="21"/>
                      <w:szCs w:val="21"/>
                    </w:rPr>
                    <w:t>产品</w:t>
                  </w:r>
                </w:p>
              </w:tc>
              <w:tc>
                <w:tcPr>
                  <w:tcW w:w="4004" w:type="dxa"/>
                  <w:noWrap w:val="0"/>
                  <w:tcMar>
                    <w:left w:w="28" w:type="dxa"/>
                    <w:right w:w="28" w:type="dxa"/>
                  </w:tcMar>
                  <w:vAlign w:val="center"/>
                </w:tcPr>
                <w:p>
                  <w:pPr>
                    <w:keepNext w:val="0"/>
                    <w:keepLines w:val="0"/>
                    <w:suppressLineNumbers w:val="0"/>
                    <w:tabs>
                      <w:tab w:val="left" w:pos="6900"/>
                    </w:tabs>
                    <w:spacing w:before="0" w:beforeAutospacing="0" w:after="0" w:afterAutospacing="0"/>
                    <w:ind w:left="-120" w:leftChars="-50" w:right="-120" w:rightChars="-50"/>
                    <w:jc w:val="center"/>
                    <w:rPr>
                      <w:rFonts w:hint="eastAsia" w:ascii="Times New Roman" w:hAnsi="Times New Roman" w:eastAsia="宋体" w:cs="Times New Roman"/>
                      <w:b/>
                      <w:bCs/>
                      <w:sz w:val="21"/>
                      <w:szCs w:val="18"/>
                      <w:lang w:eastAsia="zh-CN"/>
                    </w:rPr>
                  </w:pPr>
                  <w:r>
                    <w:rPr>
                      <w:rFonts w:hint="default" w:ascii="Times New Roman" w:hAnsi="Times New Roman" w:cs="Times New Roman"/>
                      <w:b/>
                      <w:bCs/>
                      <w:sz w:val="21"/>
                      <w:szCs w:val="18"/>
                    </w:rPr>
                    <w:t>产</w:t>
                  </w:r>
                  <w:r>
                    <w:rPr>
                      <w:rFonts w:hint="default" w:ascii="Times New Roman" w:hAnsi="Times New Roman" w:cs="Times New Roman"/>
                      <w:b/>
                      <w:bCs/>
                      <w:sz w:val="21"/>
                      <w:szCs w:val="16"/>
                    </w:rPr>
                    <w:t>量</w:t>
                  </w:r>
                  <w:r>
                    <w:rPr>
                      <w:rFonts w:hint="eastAsia" w:ascii="Times New Roman" w:hAnsi="Times New Roman" w:cs="Times New Roman"/>
                      <w:b/>
                      <w:bCs/>
                      <w:sz w:val="21"/>
                      <w:szCs w:val="16"/>
                      <w:lang w:eastAsia="zh-CN"/>
                    </w:rPr>
                    <w:t>（</w:t>
                  </w:r>
                  <w:r>
                    <w:rPr>
                      <w:rFonts w:hint="eastAsia" w:ascii="Times New Roman" w:hAnsi="Times New Roman" w:cs="Times New Roman"/>
                      <w:b/>
                      <w:bCs/>
                      <w:sz w:val="21"/>
                      <w:szCs w:val="16"/>
                      <w:lang w:val="en-US" w:eastAsia="zh-CN"/>
                    </w:rPr>
                    <w:t>m</w:t>
                  </w:r>
                  <w:r>
                    <w:rPr>
                      <w:rFonts w:hint="eastAsia" w:ascii="Times New Roman" w:hAnsi="Times New Roman" w:cs="Times New Roman"/>
                      <w:b/>
                      <w:bCs/>
                      <w:sz w:val="21"/>
                      <w:szCs w:val="16"/>
                      <w:vertAlign w:val="superscript"/>
                      <w:lang w:val="en-US" w:eastAsia="zh-CN"/>
                    </w:rPr>
                    <w:t>2</w:t>
                  </w:r>
                  <w:r>
                    <w:rPr>
                      <w:rFonts w:hint="eastAsia" w:ascii="Times New Roman" w:hAnsi="Times New Roman" w:cs="Times New Roman"/>
                      <w:b/>
                      <w:bCs/>
                      <w:sz w:val="21"/>
                      <w:szCs w:val="16"/>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noWrap w:val="0"/>
                  <w:tcMar>
                    <w:left w:w="28" w:type="dxa"/>
                    <w:right w:w="28" w:type="dxa"/>
                  </w:tcMar>
                  <w:vAlign w:val="center"/>
                </w:tcPr>
                <w:p>
                  <w:pPr>
                    <w:keepNext w:val="0"/>
                    <w:keepLines w:val="0"/>
                    <w:suppressLineNumbers w:val="0"/>
                    <w:spacing w:before="0" w:beforeAutospacing="0" w:after="0" w:afterAutospacing="0" w:line="260" w:lineRule="atLeast"/>
                    <w:ind w:left="0" w:right="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c>
                <w:tcPr>
                  <w:tcW w:w="3043" w:type="dxa"/>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灯箱布</w:t>
                  </w:r>
                </w:p>
              </w:tc>
              <w:tc>
                <w:tcPr>
                  <w:tcW w:w="4004" w:type="dxa"/>
                  <w:noWrap w:val="0"/>
                  <w:tcMar>
                    <w:left w:w="28" w:type="dxa"/>
                    <w:right w:w="28" w:type="dxa"/>
                  </w:tcMar>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11050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noWrap w:val="0"/>
                  <w:tcMar>
                    <w:left w:w="28" w:type="dxa"/>
                    <w:right w:w="28" w:type="dxa"/>
                  </w:tcMar>
                  <w:vAlign w:val="center"/>
                </w:tcPr>
                <w:p>
                  <w:pPr>
                    <w:keepNext w:val="0"/>
                    <w:keepLines w:val="0"/>
                    <w:suppressLineNumbers w:val="0"/>
                    <w:spacing w:before="0" w:beforeAutospacing="0" w:after="0" w:afterAutospacing="0" w:line="260" w:lineRule="atLeast"/>
                    <w:ind w:left="0" w:right="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2</w:t>
                  </w:r>
                </w:p>
              </w:tc>
              <w:tc>
                <w:tcPr>
                  <w:tcW w:w="3043" w:type="dxa"/>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天花软膜</w:t>
                  </w:r>
                </w:p>
              </w:tc>
              <w:tc>
                <w:tcPr>
                  <w:tcW w:w="4004" w:type="dxa"/>
                  <w:noWrap w:val="0"/>
                  <w:tcMar>
                    <w:left w:w="28" w:type="dxa"/>
                    <w:right w:w="28" w:type="dxa"/>
                  </w:tcMar>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13750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noWrap w:val="0"/>
                  <w:tcMar>
                    <w:left w:w="28" w:type="dxa"/>
                    <w:right w:w="28" w:type="dxa"/>
                  </w:tcMar>
                  <w:vAlign w:val="center"/>
                </w:tcPr>
                <w:p>
                  <w:pPr>
                    <w:keepNext w:val="0"/>
                    <w:keepLines w:val="0"/>
                    <w:suppressLineNumbers w:val="0"/>
                    <w:spacing w:before="0" w:beforeAutospacing="0" w:after="0" w:afterAutospacing="0" w:line="260" w:lineRule="atLeast"/>
                    <w:ind w:left="0" w:right="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3</w:t>
                  </w:r>
                </w:p>
              </w:tc>
              <w:tc>
                <w:tcPr>
                  <w:tcW w:w="3043" w:type="dxa"/>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塑胶地板布</w:t>
                  </w:r>
                </w:p>
              </w:tc>
              <w:tc>
                <w:tcPr>
                  <w:tcW w:w="4004" w:type="dxa"/>
                  <w:noWrap w:val="0"/>
                  <w:tcMar>
                    <w:left w:w="28" w:type="dxa"/>
                    <w:right w:w="28" w:type="dxa"/>
                  </w:tcMar>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noWrap w:val="0"/>
                  <w:tcMar>
                    <w:left w:w="28" w:type="dxa"/>
                    <w:right w:w="28" w:type="dxa"/>
                  </w:tcMar>
                  <w:vAlign w:val="center"/>
                </w:tcPr>
                <w:p>
                  <w:pPr>
                    <w:keepNext w:val="0"/>
                    <w:keepLines w:val="0"/>
                    <w:suppressLineNumbers w:val="0"/>
                    <w:spacing w:before="0" w:beforeAutospacing="0" w:after="0" w:afterAutospacing="0" w:line="260" w:lineRule="atLeast"/>
                    <w:ind w:left="0" w:right="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4</w:t>
                  </w:r>
                </w:p>
              </w:tc>
              <w:tc>
                <w:tcPr>
                  <w:tcW w:w="3043" w:type="dxa"/>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涂层布</w:t>
                  </w:r>
                  <w:r>
                    <w:rPr>
                      <w:rFonts w:hint="default" w:ascii="Times New Roman" w:hAnsi="Times New Roman" w:cs="Times New Roman"/>
                      <w:sz w:val="21"/>
                      <w:szCs w:val="21"/>
                      <w:lang w:eastAsia="zh-CN"/>
                    </w:rPr>
                    <w:t>（经编、柔性）</w:t>
                  </w:r>
                </w:p>
              </w:tc>
              <w:tc>
                <w:tcPr>
                  <w:tcW w:w="4004" w:type="dxa"/>
                  <w:noWrap w:val="0"/>
                  <w:tcMar>
                    <w:left w:w="28" w:type="dxa"/>
                    <w:right w:w="28" w:type="dxa"/>
                  </w:tcMar>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6230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noWrap w:val="0"/>
                  <w:tcMar>
                    <w:left w:w="28" w:type="dxa"/>
                    <w:right w:w="28" w:type="dxa"/>
                  </w:tcMar>
                  <w:vAlign w:val="center"/>
                </w:tcPr>
                <w:p>
                  <w:pPr>
                    <w:keepNext w:val="0"/>
                    <w:keepLines w:val="0"/>
                    <w:suppressLineNumbers w:val="0"/>
                    <w:spacing w:before="0" w:beforeAutospacing="0" w:after="0" w:afterAutospacing="0" w:line="260" w:lineRule="atLeast"/>
                    <w:ind w:left="0" w:right="0"/>
                    <w:jc w:val="center"/>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5</w:t>
                  </w:r>
                </w:p>
              </w:tc>
              <w:tc>
                <w:tcPr>
                  <w:tcW w:w="3043" w:type="dxa"/>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篷布</w:t>
                  </w:r>
                </w:p>
              </w:tc>
              <w:tc>
                <w:tcPr>
                  <w:tcW w:w="4004" w:type="dxa"/>
                  <w:noWrap w:val="0"/>
                  <w:tcMar>
                    <w:left w:w="28" w:type="dxa"/>
                    <w:right w:w="28" w:type="dxa"/>
                  </w:tcMar>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tcPr>
                <w:p>
                  <w:pPr>
                    <w:keepNext w:val="0"/>
                    <w:keepLines w:val="0"/>
                    <w:suppressLineNumbers w:val="0"/>
                    <w:spacing w:before="0" w:beforeAutospacing="0" w:after="0" w:afterAutospacing="0" w:line="260" w:lineRule="atLeast"/>
                    <w:ind w:left="0" w:right="0"/>
                    <w:jc w:val="center"/>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6</w:t>
                  </w:r>
                </w:p>
              </w:tc>
              <w:tc>
                <w:tcPr>
                  <w:tcW w:w="304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环保耐磨地板布</w:t>
                  </w:r>
                </w:p>
              </w:tc>
              <w:tc>
                <w:tcPr>
                  <w:tcW w:w="4004" w:type="dxa"/>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3</w:t>
                  </w:r>
                  <w:r>
                    <w:rPr>
                      <w:rFonts w:hint="default" w:ascii="Times New Roman" w:hAnsi="Times New Roman" w:cs="Times New Roman"/>
                      <w:sz w:val="21"/>
                      <w:szCs w:val="21"/>
                      <w:highlight w:val="none"/>
                    </w:rPr>
                    <w:t>7500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vAlign w:val="top"/>
                </w:tcPr>
                <w:p>
                  <w:pPr>
                    <w:keepNext w:val="0"/>
                    <w:keepLines w:val="0"/>
                    <w:suppressLineNumbers w:val="0"/>
                    <w:spacing w:before="0" w:beforeAutospacing="0" w:after="0" w:afterAutospacing="0" w:line="260" w:lineRule="atLeast"/>
                    <w:ind w:left="0" w:right="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lang w:val="en-US" w:eastAsia="zh-CN"/>
                    </w:rPr>
                    <w:t>7</w:t>
                  </w:r>
                </w:p>
              </w:tc>
              <w:tc>
                <w:tcPr>
                  <w:tcW w:w="304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环保地板膜</w:t>
                  </w:r>
                </w:p>
              </w:tc>
              <w:tc>
                <w:tcPr>
                  <w:tcW w:w="4004" w:type="dxa"/>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vAlign w:val="top"/>
                </w:tcPr>
                <w:p>
                  <w:pPr>
                    <w:keepNext w:val="0"/>
                    <w:keepLines w:val="0"/>
                    <w:suppressLineNumbers w:val="0"/>
                    <w:spacing w:before="0" w:beforeAutospacing="0" w:after="0" w:afterAutospacing="0" w:line="260" w:lineRule="atLeast"/>
                    <w:ind w:left="0" w:right="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lang w:val="en-US" w:eastAsia="zh-CN"/>
                    </w:rPr>
                    <w:t>8</w:t>
                  </w:r>
                </w:p>
              </w:tc>
              <w:tc>
                <w:tcPr>
                  <w:tcW w:w="304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环保灯箱广告喷绘材料</w:t>
                  </w:r>
                </w:p>
              </w:tc>
              <w:tc>
                <w:tcPr>
                  <w:tcW w:w="4004" w:type="dxa"/>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vAlign w:val="top"/>
                </w:tcPr>
                <w:p>
                  <w:pPr>
                    <w:keepNext w:val="0"/>
                    <w:keepLines w:val="0"/>
                    <w:suppressLineNumbers w:val="0"/>
                    <w:spacing w:before="0" w:beforeAutospacing="0" w:after="0" w:afterAutospacing="0" w:line="260" w:lineRule="atLeast"/>
                    <w:ind w:left="0" w:right="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lang w:val="en-US" w:eastAsia="zh-CN"/>
                    </w:rPr>
                    <w:t>9</w:t>
                  </w:r>
                </w:p>
              </w:tc>
              <w:tc>
                <w:tcPr>
                  <w:tcW w:w="3043" w:type="dxa"/>
                  <w:vAlign w:val="center"/>
                </w:tcPr>
                <w:p>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rPr>
                    <w:t>高隔距PVC空间充气材料</w:t>
                  </w:r>
                </w:p>
              </w:tc>
              <w:tc>
                <w:tcPr>
                  <w:tcW w:w="4004" w:type="dxa"/>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vAlign w:val="top"/>
                </w:tcPr>
                <w:p>
                  <w:pPr>
                    <w:keepNext w:val="0"/>
                    <w:keepLines w:val="0"/>
                    <w:suppressLineNumbers w:val="0"/>
                    <w:spacing w:before="0" w:beforeAutospacing="0" w:after="0" w:afterAutospacing="0" w:line="260" w:lineRule="atLeast"/>
                    <w:ind w:left="0" w:right="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lang w:val="en-US" w:eastAsia="zh-CN"/>
                    </w:rPr>
                    <w:t>10</w:t>
                  </w:r>
                </w:p>
              </w:tc>
              <w:tc>
                <w:tcPr>
                  <w:tcW w:w="3043" w:type="dxa"/>
                  <w:vAlign w:val="center"/>
                </w:tcPr>
                <w:p>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rPr>
                    <w:t>高隔距TPU空间充气材料</w:t>
                  </w:r>
                </w:p>
              </w:tc>
              <w:tc>
                <w:tcPr>
                  <w:tcW w:w="4004" w:type="dxa"/>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vAlign w:val="top"/>
                </w:tcPr>
                <w:p>
                  <w:pPr>
                    <w:keepNext w:val="0"/>
                    <w:keepLines w:val="0"/>
                    <w:suppressLineNumbers w:val="0"/>
                    <w:spacing w:before="0" w:beforeAutospacing="0" w:after="0" w:afterAutospacing="0" w:line="260" w:lineRule="atLeast"/>
                    <w:ind w:left="0" w:right="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lang w:val="en-US" w:eastAsia="zh-CN"/>
                    </w:rPr>
                    <w:t>11</w:t>
                  </w:r>
                </w:p>
              </w:tc>
              <w:tc>
                <w:tcPr>
                  <w:tcW w:w="3043" w:type="dxa"/>
                  <w:vAlign w:val="center"/>
                </w:tcPr>
                <w:p>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rPr>
                    <w:t>救援充气垫</w:t>
                  </w:r>
                </w:p>
              </w:tc>
              <w:tc>
                <w:tcPr>
                  <w:tcW w:w="4004" w:type="dxa"/>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vAlign w:val="top"/>
                </w:tcPr>
                <w:p>
                  <w:pPr>
                    <w:keepNext w:val="0"/>
                    <w:keepLines w:val="0"/>
                    <w:suppressLineNumbers w:val="0"/>
                    <w:spacing w:before="0" w:beforeAutospacing="0" w:after="0" w:afterAutospacing="0" w:line="260" w:lineRule="atLeast"/>
                    <w:ind w:left="0" w:right="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lang w:val="en-US" w:eastAsia="zh-CN"/>
                    </w:rPr>
                    <w:t>12</w:t>
                  </w:r>
                </w:p>
              </w:tc>
              <w:tc>
                <w:tcPr>
                  <w:tcW w:w="3043" w:type="dxa"/>
                  <w:vAlign w:val="center"/>
                </w:tcPr>
                <w:p>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kern w:val="0"/>
                      <w:sz w:val="21"/>
                      <w:szCs w:val="21"/>
                    </w:rPr>
                    <w:t>新型充气床垫</w:t>
                  </w:r>
                </w:p>
              </w:tc>
              <w:tc>
                <w:tcPr>
                  <w:tcW w:w="4004" w:type="dxa"/>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tcPr>
                <w:p>
                  <w:pPr>
                    <w:keepNext w:val="0"/>
                    <w:keepLines w:val="0"/>
                    <w:suppressLineNumbers w:val="0"/>
                    <w:spacing w:before="0" w:beforeAutospacing="0" w:after="0" w:afterAutospacing="0" w:line="260" w:lineRule="atLeast"/>
                    <w:ind w:left="0" w:right="0"/>
                    <w:jc w:val="center"/>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13</w:t>
                  </w:r>
                </w:p>
              </w:tc>
              <w:tc>
                <w:tcPr>
                  <w:tcW w:w="3043" w:type="dxa"/>
                  <w:vAlign w:val="center"/>
                </w:tcPr>
                <w:p>
                  <w:pPr>
                    <w:keepNext w:val="0"/>
                    <w:keepLines w:val="0"/>
                    <w:pageBreakBefore w:val="0"/>
                    <w:widowControl/>
                    <w:suppressLineNumbers w:val="0"/>
                    <w:kinsoku/>
                    <w:wordWrap/>
                    <w:overflowPunct/>
                    <w:topLinePunct w:val="0"/>
                    <w:autoSpaceDE/>
                    <w:autoSpaceDN/>
                    <w:bidi w:val="0"/>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空间织物材料</w:t>
                  </w:r>
                </w:p>
              </w:tc>
              <w:tc>
                <w:tcPr>
                  <w:tcW w:w="4004" w:type="dxa"/>
                  <w:vAlign w:val="center"/>
                </w:tcPr>
                <w:p>
                  <w:pPr>
                    <w:keepNext w:val="0"/>
                    <w:keepLines w:val="0"/>
                    <w:suppressLineNumbers w:val="0"/>
                    <w:tabs>
                      <w:tab w:val="right" w:leader="dot" w:pos="9072"/>
                    </w:tabs>
                    <w:spacing w:before="0" w:beforeAutospacing="0" w:after="0" w:afterAutospacing="0" w:line="260" w:lineRule="atLeast"/>
                    <w:ind w:left="0" w:right="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360</w:t>
                  </w:r>
                </w:p>
              </w:tc>
            </w:tr>
          </w:tbl>
          <w:p>
            <w:pPr>
              <w:pStyle w:val="3"/>
              <w:keepNext w:val="0"/>
              <w:keepLines w:val="0"/>
              <w:pageBreakBefore w:val="0"/>
              <w:widowControl w:val="0"/>
              <w:shd w:val="clear"/>
              <w:kinsoku w:val="0"/>
              <w:wordWrap w:val="0"/>
              <w:overflowPunct/>
              <w:topLinePunct w:val="0"/>
              <w:autoSpaceDE/>
              <w:autoSpaceDN/>
              <w:bidi w:val="0"/>
              <w:adjustRightInd/>
              <w:snapToGrid/>
              <w:spacing w:before="164" w:beforeLines="50" w:after="0" w:line="360" w:lineRule="auto"/>
              <w:ind w:left="0" w:leftChars="0" w:firstLine="480" w:firstLineChars="200"/>
              <w:textAlignment w:val="auto"/>
              <w:rPr>
                <w:rFonts w:hint="default" w:ascii="Times New Roman" w:hAnsi="Times New Roman" w:cs="Times New Roman"/>
                <w:b w:val="0"/>
                <w:bCs w:val="0"/>
                <w:color w:val="auto"/>
                <w:kern w:val="0"/>
                <w:sz w:val="24"/>
                <w:szCs w:val="24"/>
                <w:highlight w:val="none"/>
                <w:lang w:val="en-US" w:eastAsia="zh-CN"/>
              </w:rPr>
            </w:pPr>
            <w:r>
              <w:rPr>
                <w:rFonts w:hint="default" w:ascii="Times New Roman" w:hAnsi="Times New Roman" w:cs="Times New Roman"/>
                <w:b w:val="0"/>
                <w:bCs w:val="0"/>
                <w:color w:val="auto"/>
                <w:kern w:val="0"/>
                <w:sz w:val="24"/>
                <w:szCs w:val="24"/>
                <w:highlight w:val="none"/>
                <w:lang w:val="en-US" w:eastAsia="zh-CN"/>
              </w:rPr>
              <w:t>根据调查，目前老厂区正常生产，新厂区处于在建状态，</w:t>
            </w:r>
            <w:r>
              <w:rPr>
                <w:rFonts w:hint="eastAsia" w:ascii="Times New Roman" w:hAnsi="Times New Roman" w:cs="Times New Roman"/>
                <w:b w:val="0"/>
                <w:bCs w:val="0"/>
                <w:color w:val="auto"/>
                <w:kern w:val="0"/>
                <w:sz w:val="24"/>
                <w:szCs w:val="24"/>
                <w:highlight w:val="none"/>
                <w:lang w:val="en-US" w:eastAsia="zh-CN"/>
              </w:rPr>
              <w:t>主要生产过程涉及压延、贴合工序，</w:t>
            </w:r>
            <w:r>
              <w:rPr>
                <w:rFonts w:hint="default" w:ascii="Times New Roman" w:hAnsi="Times New Roman" w:cs="Times New Roman"/>
                <w:b w:val="0"/>
                <w:bCs w:val="0"/>
                <w:color w:val="auto"/>
                <w:kern w:val="0"/>
                <w:sz w:val="24"/>
                <w:szCs w:val="24"/>
                <w:highlight w:val="none"/>
                <w:lang w:val="en-US" w:eastAsia="zh-CN"/>
              </w:rPr>
              <w:t>各厂区主要环境影响如下：</w:t>
            </w:r>
          </w:p>
          <w:p>
            <w:pPr>
              <w:pStyle w:val="3"/>
              <w:keepNext w:val="0"/>
              <w:keepLines w:val="0"/>
              <w:pageBreakBefore w:val="0"/>
              <w:widowControl w:val="0"/>
              <w:shd w:val="clear"/>
              <w:kinsoku w:val="0"/>
              <w:wordWrap w:val="0"/>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cs="Times New Roman"/>
                <w:b w:val="0"/>
                <w:bCs w:val="0"/>
                <w:color w:val="auto"/>
                <w:kern w:val="0"/>
                <w:sz w:val="24"/>
                <w:szCs w:val="24"/>
                <w:highlight w:val="none"/>
                <w:lang w:val="en-US" w:eastAsia="zh-CN"/>
              </w:rPr>
            </w:pPr>
            <w:r>
              <w:rPr>
                <w:rFonts w:hint="default" w:ascii="Times New Roman" w:hAnsi="Times New Roman" w:cs="Times New Roman"/>
                <w:b w:val="0"/>
                <w:bCs w:val="0"/>
                <w:color w:val="auto"/>
                <w:kern w:val="0"/>
                <w:sz w:val="24"/>
                <w:szCs w:val="24"/>
                <w:highlight w:val="none"/>
                <w:lang w:val="en-US" w:eastAsia="zh-CN"/>
              </w:rPr>
              <w:t>一、老厂区</w:t>
            </w:r>
          </w:p>
          <w:p>
            <w:pPr>
              <w:pStyle w:val="3"/>
              <w:keepNext w:val="0"/>
              <w:keepLines w:val="0"/>
              <w:pageBreakBefore w:val="0"/>
              <w:widowControl w:val="0"/>
              <w:numPr>
                <w:ilvl w:val="0"/>
                <w:numId w:val="4"/>
              </w:numPr>
              <w:shd w:val="clear"/>
              <w:kinsoku w:val="0"/>
              <w:wordWrap w:val="0"/>
              <w:overflowPunct/>
              <w:topLinePunct w:val="0"/>
              <w:autoSpaceDE/>
              <w:autoSpaceDN/>
              <w:bidi w:val="0"/>
              <w:adjustRightInd/>
              <w:snapToGrid/>
              <w:spacing w:before="0" w:after="0" w:line="360" w:lineRule="auto"/>
              <w:ind w:leftChars="0"/>
              <w:textAlignment w:val="auto"/>
              <w:rPr>
                <w:rFonts w:hint="default" w:ascii="Times New Roman" w:hAnsi="Times New Roman" w:cs="Times New Roman"/>
                <w:b w:val="0"/>
                <w:bCs w:val="0"/>
                <w:color w:val="auto"/>
                <w:kern w:val="0"/>
                <w:sz w:val="24"/>
                <w:szCs w:val="24"/>
                <w:highlight w:val="none"/>
                <w:lang w:val="en-US" w:eastAsia="zh-CN"/>
              </w:rPr>
            </w:pPr>
            <w:r>
              <w:rPr>
                <w:rFonts w:hint="default" w:ascii="Times New Roman" w:hAnsi="Times New Roman" w:cs="Times New Roman"/>
                <w:b w:val="0"/>
                <w:bCs w:val="0"/>
                <w:color w:val="auto"/>
                <w:kern w:val="0"/>
                <w:sz w:val="24"/>
                <w:szCs w:val="24"/>
                <w:highlight w:val="none"/>
                <w:lang w:val="en-US" w:eastAsia="zh-CN"/>
              </w:rPr>
              <w:t>废水</w:t>
            </w:r>
          </w:p>
          <w:p>
            <w:pPr>
              <w:keepNext w:val="0"/>
              <w:keepLines w:val="0"/>
              <w:pageBreakBefore w:val="0"/>
              <w:widowControl w:val="0"/>
              <w:suppressLineNumbers w:val="0"/>
              <w:overflowPunct/>
              <w:topLinePunct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cs="Times New Roman"/>
                <w:b w:val="0"/>
                <w:bCs w:val="0"/>
                <w:color w:val="000000"/>
                <w:sz w:val="24"/>
                <w:szCs w:val="24"/>
              </w:rPr>
            </w:pPr>
            <w:r>
              <w:rPr>
                <w:rFonts w:hint="default" w:ascii="Times New Roman" w:hAnsi="Times New Roman" w:cs="Times New Roman"/>
                <w:b w:val="0"/>
                <w:bCs w:val="0"/>
                <w:sz w:val="24"/>
                <w:szCs w:val="24"/>
              </w:rPr>
              <w:t>根据调查，201</w:t>
            </w:r>
            <w:r>
              <w:rPr>
                <w:rFonts w:hint="default" w:ascii="Times New Roman" w:hAnsi="Times New Roman" w:cs="Times New Roman"/>
                <w:b w:val="0"/>
                <w:bCs w:val="0"/>
                <w:sz w:val="24"/>
                <w:szCs w:val="24"/>
                <w:lang w:val="en-US" w:eastAsia="zh-CN"/>
              </w:rPr>
              <w:t>9</w:t>
            </w:r>
            <w:r>
              <w:rPr>
                <w:rFonts w:hint="default" w:ascii="Times New Roman" w:hAnsi="Times New Roman" w:cs="Times New Roman"/>
                <w:b w:val="0"/>
                <w:bCs w:val="0"/>
                <w:sz w:val="24"/>
                <w:szCs w:val="24"/>
              </w:rPr>
              <w:t>年</w:t>
            </w:r>
            <w:r>
              <w:rPr>
                <w:rFonts w:hint="default" w:ascii="Times New Roman" w:hAnsi="Times New Roman" w:cs="Times New Roman"/>
                <w:b w:val="0"/>
                <w:bCs w:val="0"/>
                <w:sz w:val="24"/>
                <w:szCs w:val="24"/>
                <w:lang w:eastAsia="zh-CN"/>
              </w:rPr>
              <w:t>老厂区</w:t>
            </w:r>
            <w:r>
              <w:rPr>
                <w:rFonts w:hint="default" w:ascii="Times New Roman" w:hAnsi="Times New Roman" w:cs="Times New Roman"/>
                <w:b w:val="0"/>
                <w:bCs w:val="0"/>
                <w:sz w:val="24"/>
                <w:szCs w:val="24"/>
              </w:rPr>
              <w:t>生活污水排放量约2</w:t>
            </w:r>
            <w:r>
              <w:rPr>
                <w:rFonts w:hint="default" w:ascii="Times New Roman" w:hAnsi="Times New Roman" w:cs="Times New Roman"/>
                <w:b w:val="0"/>
                <w:bCs w:val="0"/>
                <w:sz w:val="24"/>
                <w:szCs w:val="24"/>
                <w:lang w:val="en-US" w:eastAsia="zh-CN"/>
              </w:rPr>
              <w:t>210</w:t>
            </w:r>
            <w:r>
              <w:rPr>
                <w:rFonts w:hint="default" w:ascii="Times New Roman" w:hAnsi="Times New Roman" w:cs="Times New Roman"/>
                <w:b w:val="0"/>
                <w:bCs w:val="0"/>
                <w:sz w:val="24"/>
                <w:szCs w:val="24"/>
              </w:rPr>
              <w:t>0t/a，生活污水经化粪池预处理达到《污水综合排放标准》（GB8978-1996）中三级排放标准后纳入污水管网，送入污水处理厂处理</w:t>
            </w:r>
            <w:r>
              <w:rPr>
                <w:rFonts w:hint="default" w:ascii="Times New Roman" w:hAnsi="Times New Roman" w:cs="Times New Roman"/>
                <w:b w:val="0"/>
                <w:bCs w:val="0"/>
                <w:spacing w:val="-2"/>
                <w:sz w:val="24"/>
                <w:szCs w:val="24"/>
              </w:rPr>
              <w:t>集中处理达一级A标准后排入环境，</w:t>
            </w:r>
            <w:r>
              <w:rPr>
                <w:rFonts w:hint="default" w:ascii="Times New Roman" w:hAnsi="Times New Roman" w:cs="Times New Roman"/>
                <w:b w:val="0"/>
                <w:bCs w:val="0"/>
                <w:color w:val="000000"/>
                <w:sz w:val="24"/>
                <w:szCs w:val="24"/>
              </w:rPr>
              <w:t>则COD</w:t>
            </w:r>
            <w:r>
              <w:rPr>
                <w:rFonts w:hint="default" w:ascii="Times New Roman" w:hAnsi="Times New Roman" w:cs="Times New Roman"/>
                <w:b w:val="0"/>
                <w:bCs w:val="0"/>
                <w:color w:val="000000"/>
                <w:sz w:val="24"/>
                <w:szCs w:val="24"/>
                <w:vertAlign w:val="subscript"/>
              </w:rPr>
              <w:t>Cr</w:t>
            </w:r>
            <w:r>
              <w:rPr>
                <w:rFonts w:hint="default" w:ascii="Times New Roman" w:hAnsi="Times New Roman" w:cs="Times New Roman"/>
                <w:b w:val="0"/>
                <w:bCs w:val="0"/>
                <w:color w:val="000000"/>
                <w:sz w:val="24"/>
                <w:szCs w:val="24"/>
              </w:rPr>
              <w:t>和NH</w:t>
            </w:r>
            <w:r>
              <w:rPr>
                <w:rFonts w:hint="default" w:ascii="Times New Roman" w:hAnsi="Times New Roman" w:cs="Times New Roman"/>
                <w:b w:val="0"/>
                <w:bCs w:val="0"/>
                <w:color w:val="000000"/>
                <w:sz w:val="24"/>
                <w:szCs w:val="24"/>
                <w:vertAlign w:val="subscript"/>
              </w:rPr>
              <w:t>3</w:t>
            </w:r>
            <w:r>
              <w:rPr>
                <w:rFonts w:hint="default" w:ascii="Times New Roman" w:hAnsi="Times New Roman" w:cs="Times New Roman"/>
                <w:b w:val="0"/>
                <w:bCs w:val="0"/>
                <w:color w:val="000000"/>
                <w:sz w:val="24"/>
                <w:szCs w:val="24"/>
              </w:rPr>
              <w:t>-N最终排环境量为COD</w:t>
            </w:r>
            <w:r>
              <w:rPr>
                <w:rFonts w:hint="default" w:ascii="Times New Roman" w:hAnsi="Times New Roman" w:cs="Times New Roman"/>
                <w:b w:val="0"/>
                <w:bCs w:val="0"/>
                <w:color w:val="000000"/>
                <w:sz w:val="24"/>
                <w:szCs w:val="24"/>
                <w:vertAlign w:val="subscript"/>
              </w:rPr>
              <w:t>Cr</w:t>
            </w:r>
            <w:r>
              <w:rPr>
                <w:rFonts w:hint="default" w:ascii="Times New Roman" w:hAnsi="Times New Roman" w:cs="Times New Roman"/>
                <w:b w:val="0"/>
                <w:bCs w:val="0"/>
                <w:color w:val="000000"/>
                <w:sz w:val="24"/>
                <w:szCs w:val="24"/>
              </w:rPr>
              <w:t>1.</w:t>
            </w:r>
            <w:r>
              <w:rPr>
                <w:rFonts w:hint="default" w:ascii="Times New Roman" w:hAnsi="Times New Roman" w:cs="Times New Roman"/>
                <w:b w:val="0"/>
                <w:bCs w:val="0"/>
                <w:color w:val="000000"/>
                <w:sz w:val="24"/>
                <w:szCs w:val="24"/>
                <w:lang w:val="en-US" w:eastAsia="zh-CN"/>
              </w:rPr>
              <w:t>11</w:t>
            </w:r>
            <w:r>
              <w:rPr>
                <w:rFonts w:hint="default" w:ascii="Times New Roman" w:hAnsi="Times New Roman" w:cs="Times New Roman"/>
                <w:b w:val="0"/>
                <w:bCs w:val="0"/>
                <w:color w:val="000000"/>
                <w:sz w:val="24"/>
                <w:szCs w:val="24"/>
              </w:rPr>
              <w:t>t/a，NH</w:t>
            </w:r>
            <w:r>
              <w:rPr>
                <w:rFonts w:hint="default" w:ascii="Times New Roman" w:hAnsi="Times New Roman" w:cs="Times New Roman"/>
                <w:b w:val="0"/>
                <w:bCs w:val="0"/>
                <w:color w:val="000000"/>
                <w:sz w:val="24"/>
                <w:szCs w:val="24"/>
                <w:vertAlign w:val="subscript"/>
              </w:rPr>
              <w:t>3</w:t>
            </w:r>
            <w:r>
              <w:rPr>
                <w:rFonts w:hint="default" w:ascii="Times New Roman" w:hAnsi="Times New Roman" w:cs="Times New Roman"/>
                <w:b w:val="0"/>
                <w:bCs w:val="0"/>
                <w:color w:val="000000"/>
                <w:sz w:val="24"/>
                <w:szCs w:val="24"/>
              </w:rPr>
              <w:t>-N0.1</w:t>
            </w:r>
            <w:r>
              <w:rPr>
                <w:rFonts w:hint="default" w:ascii="Times New Roman" w:hAnsi="Times New Roman" w:cs="Times New Roman"/>
                <w:b w:val="0"/>
                <w:bCs w:val="0"/>
                <w:color w:val="000000"/>
                <w:sz w:val="24"/>
                <w:szCs w:val="24"/>
                <w:lang w:val="en-US" w:eastAsia="zh-CN"/>
              </w:rPr>
              <w:t>11</w:t>
            </w:r>
            <w:r>
              <w:rPr>
                <w:rFonts w:hint="default" w:ascii="Times New Roman" w:hAnsi="Times New Roman" w:cs="Times New Roman"/>
                <w:b w:val="0"/>
                <w:bCs w:val="0"/>
                <w:color w:val="000000"/>
                <w:sz w:val="24"/>
                <w:szCs w:val="24"/>
              </w:rPr>
              <w:t>t/a。</w:t>
            </w:r>
            <w:r>
              <w:rPr>
                <w:rFonts w:hint="default" w:ascii="Times New Roman" w:hAnsi="Times New Roman" w:cs="Times New Roman"/>
                <w:b w:val="0"/>
                <w:bCs w:val="0"/>
                <w:color w:val="000000"/>
                <w:sz w:val="24"/>
                <w:szCs w:val="24"/>
                <w:lang w:eastAsia="zh-CN"/>
              </w:rPr>
              <w:t>根据杭州广测环境技术有限公司出具的监测报告（杭广测检</w:t>
            </w:r>
            <w:r>
              <w:rPr>
                <w:rFonts w:hint="default" w:ascii="Times New Roman" w:hAnsi="Times New Roman" w:cs="Times New Roman"/>
                <w:b w:val="0"/>
                <w:bCs w:val="0"/>
                <w:color w:val="000000"/>
                <w:sz w:val="24"/>
                <w:szCs w:val="24"/>
                <w:lang w:val="en-US" w:eastAsia="zh-CN"/>
              </w:rPr>
              <w:t>2019（HJ）字第1841号），企业纳管废水满足纳管标准。</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2</w:t>
            </w:r>
            <w:r>
              <w:rPr>
                <w:rFonts w:hint="default" w:ascii="Times New Roman" w:hAnsi="Times New Roman" w:cs="Times New Roman"/>
                <w:b w:val="0"/>
                <w:bCs w:val="0"/>
                <w:color w:val="000000"/>
                <w:sz w:val="24"/>
                <w:szCs w:val="24"/>
                <w:lang w:eastAsia="zh-CN"/>
              </w:rPr>
              <w:t>）废气</w:t>
            </w:r>
          </w:p>
          <w:p>
            <w:pPr>
              <w:keepNext w:val="0"/>
              <w:keepLines w:val="0"/>
              <w:pageBreakBefore w:val="0"/>
              <w:widowControl w:val="0"/>
              <w:suppressLineNumbers w:val="0"/>
              <w:kinsoku/>
              <w:overflowPunct/>
              <w:topLinePunct w:val="0"/>
              <w:bidi w:val="0"/>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b w:val="0"/>
                <w:bCs w:val="0"/>
                <w:color w:val="000000"/>
                <w:sz w:val="24"/>
                <w:szCs w:val="24"/>
                <w:lang w:eastAsia="zh-CN"/>
              </w:rPr>
            </w:pPr>
            <w:r>
              <w:rPr>
                <w:rFonts w:hint="default" w:ascii="Times New Roman" w:hAnsi="Times New Roman" w:cs="Times New Roman"/>
                <w:b w:val="0"/>
                <w:bCs w:val="0"/>
                <w:color w:val="000000"/>
                <w:sz w:val="24"/>
                <w:szCs w:val="24"/>
              </w:rPr>
              <w:fldChar w:fldCharType="begin"/>
            </w:r>
            <w:r>
              <w:rPr>
                <w:rFonts w:hint="default" w:ascii="Times New Roman" w:hAnsi="Times New Roman" w:cs="Times New Roman"/>
                <w:b w:val="0"/>
                <w:bCs w:val="0"/>
                <w:color w:val="000000"/>
                <w:sz w:val="24"/>
                <w:szCs w:val="24"/>
              </w:rPr>
              <w:instrText xml:space="preserve"> = 1 \* GB3 \* MERGEFORMAT </w:instrText>
            </w:r>
            <w:r>
              <w:rPr>
                <w:rFonts w:hint="default" w:ascii="Times New Roman" w:hAnsi="Times New Roman" w:cs="Times New Roman"/>
                <w:b w:val="0"/>
                <w:bCs w:val="0"/>
                <w:color w:val="000000"/>
                <w:sz w:val="24"/>
                <w:szCs w:val="24"/>
              </w:rPr>
              <w:fldChar w:fldCharType="separate"/>
            </w:r>
            <w:r>
              <w:rPr>
                <w:rFonts w:hint="default" w:ascii="Times New Roman" w:hAnsi="Times New Roman" w:cs="Times New Roman"/>
                <w:b w:val="0"/>
                <w:bCs w:val="0"/>
                <w:sz w:val="24"/>
                <w:szCs w:val="24"/>
              </w:rPr>
              <w:t>①</w:t>
            </w:r>
            <w:r>
              <w:rPr>
                <w:rFonts w:hint="default" w:ascii="Times New Roman" w:hAnsi="Times New Roman" w:cs="Times New Roman"/>
                <w:b w:val="0"/>
                <w:bCs w:val="0"/>
                <w:color w:val="000000"/>
                <w:sz w:val="24"/>
                <w:szCs w:val="24"/>
              </w:rPr>
              <w:fldChar w:fldCharType="end"/>
            </w:r>
            <w:r>
              <w:rPr>
                <w:rFonts w:hint="default" w:ascii="Times New Roman" w:hAnsi="Times New Roman" w:cs="Times New Roman"/>
                <w:b w:val="0"/>
                <w:bCs w:val="0"/>
                <w:color w:val="000000"/>
                <w:sz w:val="24"/>
                <w:szCs w:val="24"/>
                <w:lang w:eastAsia="zh-CN"/>
              </w:rPr>
              <w:t>投料粉尘</w:t>
            </w:r>
          </w:p>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0" w:after="0" w:line="360" w:lineRule="auto"/>
              <w:ind w:leftChars="0" w:firstLine="480" w:firstLineChars="200"/>
              <w:textAlignment w:val="auto"/>
              <w:rPr>
                <w:rFonts w:hint="default" w:ascii="Times New Roman" w:hAnsi="Times New Roman" w:cs="Times New Roman"/>
                <w:b w:val="0"/>
                <w:bCs w:val="0"/>
                <w:sz w:val="24"/>
                <w:szCs w:val="24"/>
                <w:lang w:eastAsia="zh-CN"/>
              </w:rPr>
            </w:pPr>
            <w:r>
              <w:rPr>
                <w:rFonts w:hint="default" w:ascii="Times New Roman" w:hAnsi="Times New Roman" w:cs="Times New Roman"/>
                <w:b w:val="0"/>
                <w:bCs w:val="0"/>
                <w:sz w:val="24"/>
                <w:szCs w:val="24"/>
                <w:lang w:eastAsia="zh-CN"/>
              </w:rPr>
              <w:t>粉尘主要来自压延线的粉料投料工序，粉料采用自动吸料方式进入料仓，再通过自动计量的方式进入混料设备，混料后</w:t>
            </w:r>
            <w:r>
              <w:rPr>
                <w:rFonts w:hint="default" w:ascii="Times New Roman" w:hAnsi="Times New Roman" w:cs="Times New Roman"/>
                <w:b w:val="0"/>
                <w:bCs w:val="0"/>
                <w:sz w:val="24"/>
                <w:szCs w:val="24"/>
                <w:lang w:val="en-US" w:eastAsia="zh-CN"/>
              </w:rPr>
              <w:t>再通过管道输送至塑炼工序，</w:t>
            </w:r>
            <w:r>
              <w:rPr>
                <w:rFonts w:hint="default" w:ascii="Times New Roman" w:hAnsi="Times New Roman" w:cs="Times New Roman"/>
                <w:b w:val="0"/>
                <w:bCs w:val="0"/>
                <w:sz w:val="24"/>
                <w:szCs w:val="24"/>
                <w:lang w:eastAsia="zh-CN"/>
              </w:rPr>
              <w:t>由于和</w:t>
            </w:r>
            <w:r>
              <w:rPr>
                <w:rFonts w:hint="default" w:ascii="Times New Roman" w:hAnsi="Times New Roman" w:cs="Times New Roman"/>
                <w:b w:val="0"/>
                <w:bCs w:val="0"/>
                <w:sz w:val="24"/>
                <w:szCs w:val="24"/>
                <w:lang w:val="en-US" w:eastAsia="zh-CN"/>
              </w:rPr>
              <w:t>DOP等液态物料混合，因此后续投料工序无粉尘产生，</w:t>
            </w:r>
            <w:r>
              <w:rPr>
                <w:rFonts w:hint="default" w:ascii="Times New Roman" w:hAnsi="Times New Roman" w:cs="Times New Roman"/>
                <w:b w:val="0"/>
                <w:bCs w:val="0"/>
                <w:sz w:val="24"/>
                <w:szCs w:val="24"/>
                <w:lang w:eastAsia="zh-CN"/>
              </w:rPr>
              <w:t>在计量以及搅拌过程将有粉尘产生，所产生的粉尘经密闭收集后进入布袋除尘装置进行处理后高空排放。</w:t>
            </w:r>
          </w:p>
          <w:p>
            <w:pPr>
              <w:pStyle w:val="3"/>
              <w:keepNext w:val="0"/>
              <w:keepLines w:val="0"/>
              <w:pageBreakBefore w:val="0"/>
              <w:widowControl w:val="0"/>
              <w:numPr>
                <w:ilvl w:val="0"/>
                <w:numId w:val="0"/>
              </w:numPr>
              <w:shd w:val="clear"/>
              <w:kinsoku w:val="0"/>
              <w:wordWrap w:val="0"/>
              <w:overflowPunct/>
              <w:topLinePunct w:val="0"/>
              <w:autoSpaceDE/>
              <w:autoSpaceDN/>
              <w:bidi w:val="0"/>
              <w:adjustRightInd/>
              <w:snapToGrid/>
              <w:spacing w:before="0" w:after="0" w:line="360" w:lineRule="auto"/>
              <w:ind w:leftChars="0" w:firstLine="480" w:firstLineChars="200"/>
              <w:textAlignment w:val="auto"/>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lang w:val="en-US" w:eastAsia="zh-CN"/>
              </w:rPr>
              <w:fldChar w:fldCharType="begin"/>
            </w:r>
            <w:r>
              <w:rPr>
                <w:rFonts w:hint="default" w:ascii="Times New Roman" w:hAnsi="Times New Roman" w:cs="Times New Roman"/>
                <w:b w:val="0"/>
                <w:bCs w:val="0"/>
                <w:sz w:val="24"/>
                <w:szCs w:val="24"/>
                <w:lang w:val="en-US" w:eastAsia="zh-CN"/>
              </w:rPr>
              <w:instrText xml:space="preserve"> = 2 \* GB3 \* MERGEFORMAT </w:instrText>
            </w:r>
            <w:r>
              <w:rPr>
                <w:rFonts w:hint="default" w:ascii="Times New Roman" w:hAnsi="Times New Roman" w:cs="Times New Roman"/>
                <w:b w:val="0"/>
                <w:bCs w:val="0"/>
                <w:sz w:val="24"/>
                <w:szCs w:val="24"/>
                <w:lang w:val="en-US" w:eastAsia="zh-CN"/>
              </w:rPr>
              <w:fldChar w:fldCharType="separate"/>
            </w:r>
            <w:r>
              <w:rPr>
                <w:rFonts w:hint="default" w:ascii="Times New Roman" w:hAnsi="Times New Roman" w:cs="Times New Roman"/>
                <w:b w:val="0"/>
                <w:bCs w:val="0"/>
                <w:sz w:val="24"/>
                <w:szCs w:val="24"/>
              </w:rPr>
              <w:t>②</w:t>
            </w:r>
            <w:r>
              <w:rPr>
                <w:rFonts w:hint="default" w:ascii="Times New Roman" w:hAnsi="Times New Roman" w:cs="Times New Roman"/>
                <w:b w:val="0"/>
                <w:bCs w:val="0"/>
                <w:sz w:val="24"/>
                <w:szCs w:val="24"/>
                <w:lang w:val="en-US" w:eastAsia="zh-CN"/>
              </w:rPr>
              <w:fldChar w:fldCharType="end"/>
            </w:r>
            <w:r>
              <w:rPr>
                <w:rFonts w:hint="default" w:ascii="Times New Roman" w:hAnsi="Times New Roman" w:cs="Times New Roman"/>
                <w:b w:val="0"/>
                <w:bCs w:val="0"/>
                <w:sz w:val="24"/>
                <w:szCs w:val="24"/>
                <w:lang w:val="en-US" w:eastAsia="zh-CN"/>
              </w:rPr>
              <w:t>压延、贴合废气</w:t>
            </w:r>
          </w:p>
          <w:p>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val="0"/>
                <w:bCs w:val="0"/>
                <w:sz w:val="24"/>
                <w:szCs w:val="24"/>
                <w:highlight w:val="none"/>
              </w:rPr>
            </w:pPr>
            <w:r>
              <w:rPr>
                <w:rFonts w:hint="default" w:ascii="Times New Roman" w:hAnsi="Times New Roman" w:cs="Times New Roman"/>
                <w:b w:val="0"/>
                <w:bCs w:val="0"/>
                <w:sz w:val="24"/>
                <w:szCs w:val="24"/>
              </w:rPr>
              <w:t>压延</w:t>
            </w:r>
            <w:r>
              <w:rPr>
                <w:rFonts w:hint="default" w:ascii="Times New Roman" w:hAnsi="Times New Roman" w:cs="Times New Roman"/>
                <w:b w:val="0"/>
                <w:bCs w:val="0"/>
                <w:sz w:val="24"/>
                <w:szCs w:val="24"/>
                <w:lang w:eastAsia="zh-CN"/>
              </w:rPr>
              <w:t>、贴合废气经收集后通过高压静电净化设施处理后高空排放，</w:t>
            </w:r>
            <w:r>
              <w:rPr>
                <w:rFonts w:hint="default" w:ascii="Times New Roman" w:hAnsi="Times New Roman" w:cs="Times New Roman"/>
                <w:b w:val="0"/>
                <w:bCs w:val="0"/>
                <w:color w:val="auto"/>
                <w:sz w:val="24"/>
                <w:szCs w:val="24"/>
                <w:lang w:val="en-US" w:eastAsia="zh-CN"/>
              </w:rPr>
              <w:t>老厂区现有压延线10条（1#-10#），</w:t>
            </w:r>
            <w:r>
              <w:rPr>
                <w:rFonts w:hint="default" w:ascii="Times New Roman" w:hAnsi="Times New Roman" w:cs="Times New Roman"/>
                <w:b w:val="0"/>
                <w:bCs w:val="0"/>
                <w:sz w:val="24"/>
                <w:szCs w:val="24"/>
                <w:highlight w:val="none"/>
              </w:rPr>
              <w:t>其中3#~6#每条线配一套处理设施</w:t>
            </w:r>
            <w:r>
              <w:rPr>
                <w:rFonts w:hint="default" w:ascii="Times New Roman" w:hAnsi="Times New Roman" w:cs="Times New Roman"/>
                <w:b w:val="0"/>
                <w:bCs w:val="0"/>
                <w:sz w:val="24"/>
                <w:szCs w:val="24"/>
                <w:highlight w:val="none"/>
                <w:lang w:eastAsia="zh-CN"/>
              </w:rPr>
              <w:t>，合</w:t>
            </w:r>
            <w:r>
              <w:rPr>
                <w:rFonts w:hint="default" w:ascii="Times New Roman" w:hAnsi="Times New Roman" w:cs="Times New Roman"/>
                <w:b w:val="0"/>
                <w:bCs w:val="0"/>
                <w:sz w:val="24"/>
                <w:szCs w:val="24"/>
                <w:highlight w:val="none"/>
              </w:rPr>
              <w:t>计4套处理设施4个排气筒，</w:t>
            </w:r>
            <w:r>
              <w:rPr>
                <w:rFonts w:hint="default" w:ascii="Times New Roman" w:hAnsi="Times New Roman" w:cs="Times New Roman"/>
                <w:b w:val="0"/>
                <w:bCs w:val="0"/>
                <w:sz w:val="24"/>
                <w:szCs w:val="24"/>
              </w:rPr>
              <w:t>企业老厂区现有涂贴线9条</w:t>
            </w:r>
            <w:r>
              <w:rPr>
                <w:rFonts w:hint="default" w:ascii="Times New Roman" w:hAnsi="Times New Roman" w:cs="Times New Roman"/>
                <w:b w:val="0"/>
                <w:bCs w:val="0"/>
                <w:sz w:val="24"/>
                <w:szCs w:val="24"/>
                <w:lang w:eastAsia="zh-CN"/>
              </w:rPr>
              <w:t>（编号</w:t>
            </w:r>
            <w:r>
              <w:rPr>
                <w:rFonts w:hint="default" w:ascii="Times New Roman" w:hAnsi="Times New Roman" w:cs="Times New Roman"/>
                <w:b w:val="0"/>
                <w:bCs w:val="0"/>
                <w:sz w:val="24"/>
                <w:szCs w:val="24"/>
                <w:lang w:val="en-US" w:eastAsia="zh-CN"/>
              </w:rPr>
              <w:t>1#-10#，无3#</w:t>
            </w:r>
            <w:r>
              <w:rPr>
                <w:rFonts w:hint="default" w:ascii="Times New Roman" w:hAnsi="Times New Roman" w:cs="Times New Roman"/>
                <w:b w:val="0"/>
                <w:bCs w:val="0"/>
                <w:sz w:val="24"/>
                <w:szCs w:val="24"/>
                <w:lang w:eastAsia="zh-CN"/>
              </w:rPr>
              <w:t>）</w:t>
            </w:r>
            <w:r>
              <w:rPr>
                <w:rFonts w:hint="default" w:ascii="Times New Roman" w:hAnsi="Times New Roman" w:cs="Times New Roman"/>
                <w:b w:val="0"/>
                <w:bCs w:val="0"/>
                <w:sz w:val="24"/>
                <w:szCs w:val="24"/>
              </w:rPr>
              <w:t>，</w:t>
            </w:r>
            <w:r>
              <w:rPr>
                <w:rFonts w:hint="default" w:ascii="Times New Roman" w:hAnsi="Times New Roman" w:cs="Times New Roman"/>
                <w:b w:val="0"/>
                <w:bCs w:val="0"/>
                <w:sz w:val="24"/>
                <w:szCs w:val="24"/>
                <w:lang w:val="en-US" w:eastAsia="zh-CN"/>
              </w:rPr>
              <w:t>低温</w:t>
            </w:r>
            <w:r>
              <w:rPr>
                <w:rFonts w:hint="default" w:ascii="Times New Roman" w:hAnsi="Times New Roman" w:cs="Times New Roman"/>
                <w:b w:val="0"/>
                <w:bCs w:val="0"/>
                <w:sz w:val="24"/>
                <w:szCs w:val="24"/>
                <w:lang w:eastAsia="zh-CN"/>
              </w:rPr>
              <w:t>贴线</w:t>
            </w:r>
            <w:r>
              <w:rPr>
                <w:rFonts w:hint="default" w:ascii="Times New Roman" w:hAnsi="Times New Roman" w:cs="Times New Roman"/>
                <w:b w:val="0"/>
                <w:bCs w:val="0"/>
                <w:sz w:val="24"/>
                <w:szCs w:val="24"/>
                <w:lang w:val="en-US" w:eastAsia="zh-CN"/>
              </w:rPr>
              <w:t>2条，膜贴线温度较低（100℃左右），低温膜贴过程基本无废气排放，因此，未安装废气处理设施，9条涂贴线</w:t>
            </w:r>
            <w:r>
              <w:rPr>
                <w:rFonts w:hint="default" w:ascii="Times New Roman" w:hAnsi="Times New Roman" w:cs="Times New Roman"/>
                <w:b w:val="0"/>
                <w:bCs w:val="0"/>
                <w:sz w:val="24"/>
                <w:szCs w:val="24"/>
                <w:lang w:eastAsia="zh-CN"/>
              </w:rPr>
              <w:t>配备高压静电废气处理设施</w:t>
            </w:r>
            <w:r>
              <w:rPr>
                <w:rFonts w:hint="default" w:ascii="Times New Roman" w:hAnsi="Times New Roman" w:cs="Times New Roman"/>
                <w:b w:val="0"/>
                <w:bCs w:val="0"/>
                <w:sz w:val="24"/>
                <w:szCs w:val="24"/>
                <w:lang w:val="en-US" w:eastAsia="zh-CN"/>
              </w:rPr>
              <w:t>7套，其中1#、4#、6#、7#、8#各条线配备1套处理设施，2#线和9#线、5#线和10#线分别共用1套处理设施</w:t>
            </w:r>
            <w:r>
              <w:rPr>
                <w:rFonts w:hint="default" w:ascii="Times New Roman" w:hAnsi="Times New Roman" w:cs="Times New Roman"/>
                <w:b w:val="0"/>
                <w:bCs w:val="0"/>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4"/>
                <w:szCs w:val="24"/>
                <w:highlight w:val="none"/>
                <w:lang w:eastAsia="zh-CN"/>
              </w:rPr>
            </w:pPr>
            <w:r>
              <w:rPr>
                <w:rFonts w:hint="default" w:ascii="Times New Roman" w:hAnsi="Times New Roman" w:cs="Times New Roman"/>
                <w:b w:val="0"/>
                <w:bCs w:val="0"/>
                <w:sz w:val="24"/>
                <w:szCs w:val="24"/>
                <w:highlight w:val="none"/>
                <w:lang w:eastAsia="zh-CN"/>
              </w:rPr>
              <w:t>根据监测结果</w:t>
            </w:r>
            <w:r>
              <w:rPr>
                <w:rFonts w:hint="default" w:ascii="Times New Roman" w:hAnsi="Times New Roman" w:cs="Times New Roman"/>
                <w:b w:val="0"/>
                <w:bCs w:val="0"/>
                <w:color w:val="000000"/>
                <w:sz w:val="24"/>
                <w:szCs w:val="24"/>
                <w:lang w:eastAsia="zh-CN"/>
              </w:rPr>
              <w:t>（杭广测检201</w:t>
            </w:r>
            <w:r>
              <w:rPr>
                <w:rFonts w:hint="default" w:ascii="Times New Roman" w:hAnsi="Times New Roman" w:cs="Times New Roman"/>
                <w:b w:val="0"/>
                <w:bCs w:val="0"/>
                <w:color w:val="000000"/>
                <w:sz w:val="24"/>
                <w:szCs w:val="24"/>
                <w:lang w:val="en-US" w:eastAsia="zh-CN"/>
              </w:rPr>
              <w:t>8</w:t>
            </w:r>
            <w:r>
              <w:rPr>
                <w:rFonts w:hint="default" w:ascii="Times New Roman" w:hAnsi="Times New Roman" w:cs="Times New Roman"/>
                <w:b w:val="0"/>
                <w:bCs w:val="0"/>
                <w:color w:val="000000"/>
                <w:sz w:val="24"/>
                <w:szCs w:val="24"/>
                <w:lang w:eastAsia="zh-CN"/>
              </w:rPr>
              <w:t>(HJ)字第</w:t>
            </w:r>
            <w:r>
              <w:rPr>
                <w:rFonts w:hint="default" w:ascii="Times New Roman" w:hAnsi="Times New Roman" w:cs="Times New Roman"/>
                <w:b w:val="0"/>
                <w:bCs w:val="0"/>
                <w:color w:val="000000"/>
                <w:sz w:val="24"/>
                <w:szCs w:val="24"/>
                <w:lang w:val="en-US" w:eastAsia="zh-CN"/>
              </w:rPr>
              <w:t>0605</w:t>
            </w:r>
            <w:r>
              <w:rPr>
                <w:rFonts w:hint="default" w:ascii="Times New Roman" w:hAnsi="Times New Roman" w:cs="Times New Roman"/>
                <w:b w:val="0"/>
                <w:bCs w:val="0"/>
                <w:color w:val="000000"/>
                <w:sz w:val="24"/>
                <w:szCs w:val="24"/>
                <w:lang w:eastAsia="zh-CN"/>
              </w:rPr>
              <w:t>号</w:t>
            </w:r>
            <w:r>
              <w:rPr>
                <w:rFonts w:hint="default" w:ascii="Times New Roman" w:hAnsi="Times New Roman" w:cs="Times New Roman"/>
                <w:b w:val="0"/>
                <w:bCs w:val="0"/>
                <w:color w:val="000000"/>
                <w:sz w:val="24"/>
                <w:szCs w:val="24"/>
                <w:lang w:val="en-US" w:eastAsia="zh-CN"/>
              </w:rPr>
              <w:t>）</w:t>
            </w:r>
            <w:r>
              <w:rPr>
                <w:rFonts w:hint="default" w:ascii="Times New Roman" w:hAnsi="Times New Roman" w:cs="Times New Roman"/>
                <w:b w:val="0"/>
                <w:bCs w:val="0"/>
                <w:sz w:val="24"/>
                <w:szCs w:val="24"/>
                <w:highlight w:val="none"/>
                <w:lang w:eastAsia="zh-CN"/>
              </w:rPr>
              <w:t>，压延、贴合废气均</w:t>
            </w:r>
            <w:r>
              <w:rPr>
                <w:rFonts w:hint="default" w:ascii="Times New Roman" w:hAnsi="Times New Roman" w:cs="Times New Roman"/>
                <w:b w:val="0"/>
                <w:bCs w:val="0"/>
                <w:sz w:val="24"/>
                <w:szCs w:val="24"/>
                <w:lang w:val="en-US" w:eastAsia="zh-CN"/>
              </w:rPr>
              <w:t>满足《大气污染物综合排放标准》（GB16297-1996）中表2相应排放标准。</w:t>
            </w:r>
          </w:p>
          <w:p>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sz w:val="24"/>
                <w:szCs w:val="24"/>
                <w:highlight w:val="yellow"/>
                <w:lang w:val="en-US" w:eastAsia="zh-CN"/>
              </w:rPr>
            </w:pPr>
            <w:r>
              <w:rPr>
                <w:rFonts w:hint="default" w:ascii="Times New Roman" w:hAnsi="Times New Roman" w:eastAsia="宋体" w:cs="Times New Roman"/>
                <w:b w:val="0"/>
                <w:bCs w:val="0"/>
                <w:sz w:val="24"/>
                <w:szCs w:val="24"/>
                <w:highlight w:val="yellow"/>
                <w:lang w:val="en-US" w:eastAsia="zh-CN"/>
              </w:rPr>
              <w:fldChar w:fldCharType="begin"/>
            </w:r>
            <w:r>
              <w:rPr>
                <w:rFonts w:hint="default" w:ascii="Times New Roman" w:hAnsi="Times New Roman" w:eastAsia="宋体" w:cs="Times New Roman"/>
                <w:b w:val="0"/>
                <w:bCs w:val="0"/>
                <w:sz w:val="24"/>
                <w:szCs w:val="24"/>
                <w:highlight w:val="yellow"/>
                <w:lang w:val="en-US" w:eastAsia="zh-CN"/>
              </w:rPr>
              <w:instrText xml:space="preserve"> = 3 \* GB3 \* MERGEFORMAT </w:instrText>
            </w:r>
            <w:r>
              <w:rPr>
                <w:rFonts w:hint="default" w:ascii="Times New Roman" w:hAnsi="Times New Roman" w:eastAsia="宋体" w:cs="Times New Roman"/>
                <w:b w:val="0"/>
                <w:bCs w:val="0"/>
                <w:sz w:val="24"/>
                <w:szCs w:val="24"/>
                <w:highlight w:val="yellow"/>
                <w:lang w:val="en-US" w:eastAsia="zh-CN"/>
              </w:rPr>
              <w:fldChar w:fldCharType="separate"/>
            </w:r>
            <w:r>
              <w:rPr>
                <w:rFonts w:hint="default" w:ascii="Times New Roman" w:hAnsi="Times New Roman" w:cs="Times New Roman"/>
                <w:b w:val="0"/>
                <w:bCs w:val="0"/>
                <w:sz w:val="24"/>
                <w:szCs w:val="24"/>
              </w:rPr>
              <w:t>③</w:t>
            </w:r>
            <w:r>
              <w:rPr>
                <w:rFonts w:hint="default" w:ascii="Times New Roman" w:hAnsi="Times New Roman" w:eastAsia="宋体" w:cs="Times New Roman"/>
                <w:b w:val="0"/>
                <w:bCs w:val="0"/>
                <w:sz w:val="24"/>
                <w:szCs w:val="24"/>
                <w:highlight w:val="yellow"/>
                <w:lang w:val="en-US" w:eastAsia="zh-CN"/>
              </w:rPr>
              <w:fldChar w:fldCharType="end"/>
            </w:r>
            <w:r>
              <w:rPr>
                <w:rFonts w:hint="default" w:ascii="Times New Roman" w:hAnsi="Times New Roman" w:cs="Times New Roman"/>
                <w:b w:val="0"/>
                <w:bCs w:val="0"/>
                <w:sz w:val="24"/>
                <w:szCs w:val="24"/>
                <w:highlight w:val="none"/>
              </w:rPr>
              <w:t>表处废气</w:t>
            </w:r>
          </w:p>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0" w:after="0" w:line="360" w:lineRule="auto"/>
              <w:ind w:leftChars="0" w:firstLine="480" w:firstLineChars="200"/>
              <w:textAlignment w:val="auto"/>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highlight w:val="none"/>
                <w:lang w:eastAsia="zh-CN"/>
              </w:rPr>
              <w:t>老厂区现有表处机</w:t>
            </w:r>
            <w:r>
              <w:rPr>
                <w:rFonts w:hint="default" w:ascii="Times New Roman" w:hAnsi="Times New Roman" w:cs="Times New Roman"/>
                <w:b w:val="0"/>
                <w:bCs w:val="0"/>
                <w:sz w:val="24"/>
                <w:szCs w:val="24"/>
                <w:highlight w:val="none"/>
                <w:lang w:val="en-US" w:eastAsia="zh-CN"/>
              </w:rPr>
              <w:t>1台，表处废气主要成分为甲苯、DMF、非甲烷总烃，</w:t>
            </w:r>
            <w:r>
              <w:rPr>
                <w:rFonts w:hint="default" w:ascii="Times New Roman" w:hAnsi="Times New Roman" w:cs="Times New Roman"/>
                <w:b w:val="0"/>
                <w:bCs w:val="0"/>
                <w:sz w:val="24"/>
                <w:szCs w:val="24"/>
                <w:highlight w:val="none"/>
              </w:rPr>
              <w:t>表处废气收集后经喷淋+UV光解+低温等离子处理后经不低于15m排气筒排放</w:t>
            </w:r>
            <w:r>
              <w:rPr>
                <w:rFonts w:hint="default" w:ascii="Times New Roman" w:hAnsi="Times New Roman" w:cs="Times New Roman"/>
                <w:b w:val="0"/>
                <w:bCs w:val="0"/>
                <w:sz w:val="24"/>
                <w:szCs w:val="24"/>
                <w:highlight w:val="none"/>
                <w:lang w:eastAsia="zh-CN"/>
              </w:rPr>
              <w:t>，</w:t>
            </w:r>
            <w:r>
              <w:rPr>
                <w:rFonts w:hint="default" w:ascii="Times New Roman" w:hAnsi="Times New Roman" w:cs="Times New Roman"/>
                <w:b w:val="0"/>
                <w:bCs w:val="0"/>
                <w:sz w:val="24"/>
                <w:szCs w:val="24"/>
                <w:highlight w:val="none"/>
                <w:lang w:val="en-US" w:eastAsia="zh-CN"/>
              </w:rPr>
              <w:t>根据</w:t>
            </w:r>
            <w:r>
              <w:rPr>
                <w:rFonts w:hint="default" w:ascii="Times New Roman" w:hAnsi="Times New Roman" w:cs="Times New Roman"/>
                <w:b w:val="0"/>
                <w:bCs w:val="0"/>
                <w:color w:val="000000"/>
                <w:sz w:val="24"/>
                <w:szCs w:val="24"/>
                <w:highlight w:val="none"/>
                <w:lang w:eastAsia="zh-CN"/>
              </w:rPr>
              <w:t>杭州广测环境技术有限公司出具的监测报告（杭广测检201</w:t>
            </w:r>
            <w:r>
              <w:rPr>
                <w:rFonts w:hint="default" w:ascii="Times New Roman" w:hAnsi="Times New Roman" w:cs="Times New Roman"/>
                <w:b w:val="0"/>
                <w:bCs w:val="0"/>
                <w:color w:val="000000"/>
                <w:sz w:val="24"/>
                <w:szCs w:val="24"/>
                <w:highlight w:val="none"/>
                <w:lang w:val="en-US" w:eastAsia="zh-CN"/>
              </w:rPr>
              <w:t>9</w:t>
            </w:r>
            <w:r>
              <w:rPr>
                <w:rFonts w:hint="default" w:ascii="Times New Roman" w:hAnsi="Times New Roman" w:cs="Times New Roman"/>
                <w:b w:val="0"/>
                <w:bCs w:val="0"/>
                <w:color w:val="000000"/>
                <w:sz w:val="24"/>
                <w:szCs w:val="24"/>
                <w:highlight w:val="none"/>
                <w:lang w:eastAsia="zh-CN"/>
              </w:rPr>
              <w:t>(HJ)字第1837号</w:t>
            </w:r>
            <w:r>
              <w:rPr>
                <w:rFonts w:hint="default" w:ascii="Times New Roman" w:hAnsi="Times New Roman" w:cs="Times New Roman"/>
                <w:b w:val="0"/>
                <w:bCs w:val="0"/>
                <w:color w:val="000000"/>
                <w:sz w:val="24"/>
                <w:szCs w:val="24"/>
                <w:highlight w:val="none"/>
                <w:lang w:val="en-US" w:eastAsia="zh-CN"/>
              </w:rPr>
              <w:t>），</w:t>
            </w:r>
            <w:r>
              <w:rPr>
                <w:rFonts w:hint="default" w:ascii="Times New Roman" w:hAnsi="Times New Roman" w:cs="Times New Roman"/>
                <w:b w:val="0"/>
                <w:bCs w:val="0"/>
                <w:sz w:val="24"/>
                <w:szCs w:val="24"/>
                <w:lang w:eastAsia="zh-CN"/>
              </w:rPr>
              <w:t>表处工序各废气均</w:t>
            </w:r>
            <w:r>
              <w:rPr>
                <w:rFonts w:hint="default" w:ascii="Times New Roman" w:hAnsi="Times New Roman" w:cs="Times New Roman"/>
                <w:b w:val="0"/>
                <w:bCs w:val="0"/>
                <w:sz w:val="24"/>
                <w:szCs w:val="24"/>
                <w:lang w:val="en-US" w:eastAsia="zh-CN"/>
              </w:rPr>
              <w:t>达</w:t>
            </w:r>
            <w:r>
              <w:rPr>
                <w:rFonts w:hint="default" w:ascii="Times New Roman" w:hAnsi="Times New Roman" w:cs="Times New Roman"/>
                <w:b w:val="0"/>
                <w:bCs w:val="0"/>
                <w:sz w:val="24"/>
                <w:szCs w:val="24"/>
              </w:rPr>
              <w:t>《纺织染整工业大气污染物排放标准》（DB33/962-2015）</w:t>
            </w:r>
            <w:r>
              <w:rPr>
                <w:rFonts w:hint="default" w:ascii="Times New Roman" w:hAnsi="Times New Roman" w:cs="Times New Roman"/>
                <w:b w:val="0"/>
                <w:bCs w:val="0"/>
                <w:sz w:val="24"/>
                <w:szCs w:val="24"/>
                <w:lang w:eastAsia="zh-CN"/>
              </w:rPr>
              <w:t>表</w:t>
            </w:r>
            <w:r>
              <w:rPr>
                <w:rFonts w:hint="default" w:ascii="Times New Roman" w:hAnsi="Times New Roman" w:cs="Times New Roman"/>
                <w:b w:val="0"/>
                <w:bCs w:val="0"/>
                <w:sz w:val="24"/>
                <w:szCs w:val="24"/>
                <w:lang w:val="en-US" w:eastAsia="zh-CN"/>
              </w:rPr>
              <w:t>1涂层整理企业标准限值，为进一步削减表处工序废气排放，企业已对其进行改造，采用RTO处理工艺，目前已基本改造完成。</w:t>
            </w:r>
          </w:p>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0" w:after="0" w:line="360" w:lineRule="auto"/>
              <w:ind w:leftChars="0" w:firstLine="480" w:firstLineChars="200"/>
              <w:textAlignment w:val="auto"/>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lang w:val="en-US" w:eastAsia="zh-CN"/>
              </w:rPr>
              <w:fldChar w:fldCharType="begin"/>
            </w:r>
            <w:r>
              <w:rPr>
                <w:rFonts w:hint="default" w:ascii="Times New Roman" w:hAnsi="Times New Roman" w:cs="Times New Roman"/>
                <w:b w:val="0"/>
                <w:bCs w:val="0"/>
                <w:sz w:val="24"/>
                <w:szCs w:val="24"/>
                <w:lang w:val="en-US" w:eastAsia="zh-CN"/>
              </w:rPr>
              <w:instrText xml:space="preserve"> = 4 \* GB3 \* MERGEFORMAT </w:instrText>
            </w:r>
            <w:r>
              <w:rPr>
                <w:rFonts w:hint="default" w:ascii="Times New Roman" w:hAnsi="Times New Roman" w:cs="Times New Roman"/>
                <w:b w:val="0"/>
                <w:bCs w:val="0"/>
                <w:sz w:val="24"/>
                <w:szCs w:val="24"/>
                <w:lang w:val="en-US" w:eastAsia="zh-CN"/>
              </w:rPr>
              <w:fldChar w:fldCharType="separate"/>
            </w:r>
            <w:r>
              <w:rPr>
                <w:rFonts w:hint="default" w:ascii="Times New Roman" w:hAnsi="Times New Roman" w:cs="Times New Roman"/>
                <w:b w:val="0"/>
                <w:bCs w:val="0"/>
                <w:sz w:val="24"/>
                <w:szCs w:val="24"/>
              </w:rPr>
              <w:t>④</w:t>
            </w:r>
            <w:r>
              <w:rPr>
                <w:rFonts w:hint="default" w:ascii="Times New Roman" w:hAnsi="Times New Roman" w:cs="Times New Roman"/>
                <w:b w:val="0"/>
                <w:bCs w:val="0"/>
                <w:sz w:val="24"/>
                <w:szCs w:val="24"/>
                <w:lang w:val="en-US" w:eastAsia="zh-CN"/>
              </w:rPr>
              <w:fldChar w:fldCharType="end"/>
            </w:r>
            <w:r>
              <w:rPr>
                <w:rFonts w:hint="default" w:ascii="Times New Roman" w:hAnsi="Times New Roman" w:cs="Times New Roman"/>
                <w:b w:val="0"/>
                <w:bCs w:val="0"/>
                <w:sz w:val="24"/>
                <w:szCs w:val="24"/>
                <w:lang w:val="en-US" w:eastAsia="zh-CN"/>
              </w:rPr>
              <w:t>锅炉烟气</w:t>
            </w:r>
          </w:p>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0" w:after="0" w:line="360" w:lineRule="auto"/>
              <w:ind w:leftChars="0" w:firstLine="480" w:firstLineChars="200"/>
              <w:textAlignment w:val="auto"/>
              <w:rPr>
                <w:rFonts w:hint="default" w:ascii="Times New Roman" w:hAnsi="Times New Roman" w:cs="Times New Roman"/>
                <w:b w:val="0"/>
                <w:bCs w:val="0"/>
                <w:sz w:val="24"/>
                <w:szCs w:val="24"/>
                <w:vertAlign w:val="baseline"/>
                <w:lang w:val="en-US" w:eastAsia="zh-CN"/>
              </w:rPr>
            </w:pPr>
            <w:r>
              <w:rPr>
                <w:rFonts w:hint="default" w:ascii="Times New Roman" w:hAnsi="Times New Roman" w:cs="Times New Roman"/>
                <w:b w:val="0"/>
                <w:bCs w:val="0"/>
                <w:sz w:val="24"/>
                <w:szCs w:val="24"/>
                <w:lang w:eastAsia="zh-CN"/>
              </w:rPr>
              <w:t>企业老厂区现有</w:t>
            </w:r>
            <w:r>
              <w:rPr>
                <w:rFonts w:hint="default" w:ascii="Times New Roman" w:hAnsi="Times New Roman" w:cs="Times New Roman"/>
                <w:b w:val="0"/>
                <w:bCs w:val="0"/>
                <w:sz w:val="24"/>
                <w:szCs w:val="24"/>
              </w:rPr>
              <w:t>两台燃气导热油炉，</w:t>
            </w:r>
            <w:r>
              <w:rPr>
                <w:rFonts w:hint="default" w:ascii="Times New Roman" w:hAnsi="Times New Roman" w:cs="Times New Roman"/>
                <w:b w:val="0"/>
                <w:bCs w:val="0"/>
                <w:sz w:val="24"/>
                <w:szCs w:val="24"/>
                <w:lang w:eastAsia="zh-CN"/>
              </w:rPr>
              <w:t>单台功率</w:t>
            </w:r>
            <w:r>
              <w:rPr>
                <w:rFonts w:hint="default" w:ascii="Times New Roman" w:hAnsi="Times New Roman" w:cs="Times New Roman"/>
                <w:b w:val="0"/>
                <w:bCs w:val="0"/>
                <w:sz w:val="24"/>
                <w:szCs w:val="24"/>
                <w:lang w:val="en-US" w:eastAsia="zh-CN"/>
              </w:rPr>
              <w:t>500万大卡，2019年老厂区天然气消耗量450</w:t>
            </w:r>
            <w:r>
              <w:rPr>
                <w:rFonts w:hint="default" w:ascii="Times New Roman" w:hAnsi="Times New Roman" w:cs="Times New Roman"/>
                <w:b w:val="0"/>
                <w:bCs w:val="0"/>
                <w:sz w:val="24"/>
                <w:szCs w:val="24"/>
              </w:rPr>
              <w:t>万Nm³</w:t>
            </w:r>
            <w:r>
              <w:rPr>
                <w:rFonts w:hint="default" w:ascii="Times New Roman" w:hAnsi="Times New Roman" w:cs="Times New Roman"/>
                <w:b w:val="0"/>
                <w:bCs w:val="0"/>
                <w:sz w:val="24"/>
                <w:szCs w:val="24"/>
                <w:lang w:eastAsia="zh-CN"/>
              </w:rPr>
              <w:t>，天然气燃烧烟气主要污染物为烟尘、</w:t>
            </w:r>
            <w:r>
              <w:rPr>
                <w:rFonts w:hint="default" w:ascii="Times New Roman" w:hAnsi="Times New Roman" w:cs="Times New Roman"/>
                <w:b w:val="0"/>
                <w:bCs w:val="0"/>
                <w:sz w:val="24"/>
                <w:szCs w:val="24"/>
                <w:lang w:val="en-US" w:eastAsia="zh-CN"/>
              </w:rPr>
              <w:t>SO</w:t>
            </w:r>
            <w:r>
              <w:rPr>
                <w:rFonts w:hint="default" w:ascii="Times New Roman" w:hAnsi="Times New Roman" w:cs="Times New Roman"/>
                <w:b w:val="0"/>
                <w:bCs w:val="0"/>
                <w:sz w:val="24"/>
                <w:szCs w:val="24"/>
                <w:vertAlign w:val="subscript"/>
                <w:lang w:val="en-US" w:eastAsia="zh-CN"/>
              </w:rPr>
              <w:t>2</w:t>
            </w:r>
            <w:r>
              <w:rPr>
                <w:rFonts w:hint="default" w:ascii="Times New Roman" w:hAnsi="Times New Roman" w:cs="Times New Roman"/>
                <w:b w:val="0"/>
                <w:bCs w:val="0"/>
                <w:sz w:val="24"/>
                <w:szCs w:val="24"/>
                <w:lang w:val="en-US" w:eastAsia="zh-CN"/>
              </w:rPr>
              <w:t>、NOx，燃气烟气经引风机引排气筒高空排放，根据</w:t>
            </w:r>
            <w:r>
              <w:rPr>
                <w:rFonts w:hint="default" w:ascii="Times New Roman" w:hAnsi="Times New Roman" w:cs="Times New Roman"/>
                <w:b w:val="0"/>
                <w:bCs w:val="0"/>
                <w:color w:val="000000"/>
                <w:sz w:val="24"/>
                <w:szCs w:val="24"/>
                <w:lang w:eastAsia="zh-CN"/>
              </w:rPr>
              <w:t>杭州广测环境技术有限公司出具的监测报告（杭广测检201</w:t>
            </w:r>
            <w:r>
              <w:rPr>
                <w:rFonts w:hint="default" w:ascii="Times New Roman" w:hAnsi="Times New Roman" w:cs="Times New Roman"/>
                <w:b w:val="0"/>
                <w:bCs w:val="0"/>
                <w:color w:val="000000"/>
                <w:sz w:val="24"/>
                <w:szCs w:val="24"/>
                <w:lang w:val="en-US" w:eastAsia="zh-CN"/>
              </w:rPr>
              <w:t>9</w:t>
            </w:r>
            <w:r>
              <w:rPr>
                <w:rFonts w:hint="default" w:ascii="Times New Roman" w:hAnsi="Times New Roman" w:cs="Times New Roman"/>
                <w:b w:val="0"/>
                <w:bCs w:val="0"/>
                <w:color w:val="000000"/>
                <w:sz w:val="24"/>
                <w:szCs w:val="24"/>
                <w:lang w:eastAsia="zh-CN"/>
              </w:rPr>
              <w:t>(HJ)字第1838号</w:t>
            </w:r>
            <w:r>
              <w:rPr>
                <w:rFonts w:hint="default" w:ascii="Times New Roman" w:hAnsi="Times New Roman" w:cs="Times New Roman"/>
                <w:b w:val="0"/>
                <w:bCs w:val="0"/>
                <w:color w:val="000000"/>
                <w:sz w:val="24"/>
                <w:szCs w:val="24"/>
                <w:lang w:val="en-US" w:eastAsia="zh-CN"/>
              </w:rPr>
              <w:t>），</w:t>
            </w:r>
            <w:r>
              <w:rPr>
                <w:rFonts w:hint="default" w:ascii="Times New Roman" w:hAnsi="Times New Roman" w:cs="Times New Roman"/>
                <w:b w:val="0"/>
                <w:bCs w:val="0"/>
                <w:sz w:val="24"/>
                <w:szCs w:val="24"/>
              </w:rPr>
              <w:t>燃料燃烧废气的</w:t>
            </w:r>
            <w:r>
              <w:rPr>
                <w:rFonts w:hint="default" w:ascii="Times New Roman" w:hAnsi="Times New Roman" w:cs="Times New Roman"/>
                <w:b w:val="0"/>
                <w:bCs w:val="0"/>
                <w:sz w:val="24"/>
                <w:szCs w:val="24"/>
                <w:lang w:eastAsia="zh-CN"/>
              </w:rPr>
              <w:t>颗粒物</w:t>
            </w:r>
            <w:r>
              <w:rPr>
                <w:rFonts w:hint="default" w:ascii="Times New Roman" w:hAnsi="Times New Roman" w:cs="Times New Roman"/>
                <w:b w:val="0"/>
                <w:bCs w:val="0"/>
                <w:sz w:val="24"/>
                <w:szCs w:val="24"/>
              </w:rPr>
              <w:t>、SO</w:t>
            </w:r>
            <w:r>
              <w:rPr>
                <w:rFonts w:hint="default" w:ascii="Times New Roman" w:hAnsi="Times New Roman" w:cs="Times New Roman"/>
                <w:b w:val="0"/>
                <w:bCs w:val="0"/>
                <w:sz w:val="24"/>
                <w:szCs w:val="24"/>
                <w:vertAlign w:val="subscript"/>
              </w:rPr>
              <w:t>2</w:t>
            </w:r>
            <w:r>
              <w:rPr>
                <w:rFonts w:hint="default" w:ascii="Times New Roman" w:hAnsi="Times New Roman" w:cs="Times New Roman"/>
                <w:b w:val="0"/>
                <w:bCs w:val="0"/>
                <w:sz w:val="24"/>
                <w:szCs w:val="24"/>
              </w:rPr>
              <w:t>的排放浓度满足《锅炉大气污染物排放标准》（GB13271-2014）中</w:t>
            </w:r>
            <w:r>
              <w:rPr>
                <w:rFonts w:hint="default" w:ascii="Times New Roman" w:hAnsi="Times New Roman" w:cs="Times New Roman"/>
                <w:b w:val="0"/>
                <w:bCs w:val="0"/>
                <w:sz w:val="24"/>
                <w:szCs w:val="24"/>
                <w:lang w:eastAsia="zh-CN"/>
              </w:rPr>
              <w:t>特别</w:t>
            </w:r>
            <w:r>
              <w:rPr>
                <w:rFonts w:hint="default" w:ascii="Times New Roman" w:hAnsi="Times New Roman" w:cs="Times New Roman"/>
                <w:b w:val="0"/>
                <w:bCs w:val="0"/>
                <w:sz w:val="24"/>
                <w:szCs w:val="24"/>
              </w:rPr>
              <w:t>排放限值</w:t>
            </w:r>
            <w:r>
              <w:rPr>
                <w:rFonts w:hint="default" w:ascii="Times New Roman" w:hAnsi="Times New Roman" w:cs="Times New Roman"/>
                <w:b w:val="0"/>
                <w:bCs w:val="0"/>
                <w:sz w:val="24"/>
                <w:szCs w:val="24"/>
                <w:lang w:eastAsia="zh-CN"/>
              </w:rPr>
              <w:t>要求，</w:t>
            </w:r>
            <w:r>
              <w:rPr>
                <w:rFonts w:hint="default" w:ascii="Times New Roman" w:hAnsi="Times New Roman" w:cs="Times New Roman"/>
                <w:b w:val="0"/>
                <w:bCs w:val="0"/>
                <w:sz w:val="24"/>
                <w:szCs w:val="24"/>
                <w:vertAlign w:val="baseline"/>
                <w:lang w:val="en-US" w:eastAsia="zh-CN"/>
              </w:rPr>
              <w:t>企业已于近期对老厂区在用锅炉进行低氮改造，采用DOWSON 扩散式超低氮燃烧器，采用分级燃烧，局部富氧燃烧，烟气内循环和通过快速混合模拟预混合效果的设计来控制热力型 NOx和快速型NOx的生成，确保NOx浓度低于50mg/m</w:t>
            </w:r>
            <w:r>
              <w:rPr>
                <w:rFonts w:hint="default" w:ascii="Times New Roman" w:hAnsi="Times New Roman" w:cs="Times New Roman"/>
                <w:b w:val="0"/>
                <w:bCs w:val="0"/>
                <w:sz w:val="24"/>
                <w:szCs w:val="24"/>
                <w:vertAlign w:val="superscript"/>
                <w:lang w:val="en-US" w:eastAsia="zh-CN"/>
              </w:rPr>
              <w:t>3</w:t>
            </w:r>
            <w:r>
              <w:rPr>
                <w:rFonts w:hint="default" w:ascii="Times New Roman" w:hAnsi="Times New Roman" w:cs="Times New Roman"/>
                <w:b w:val="0"/>
                <w:bCs w:val="0"/>
                <w:sz w:val="24"/>
                <w:szCs w:val="24"/>
                <w:vertAlign w:val="baseline"/>
                <w:lang w:val="en-US" w:eastAsia="zh-CN"/>
              </w:rPr>
              <w:t>，目前1台已改造完成，另外1台正在改造中，预计2020年底完成。</w:t>
            </w:r>
          </w:p>
          <w:p>
            <w:pPr>
              <w:keepNext w:val="0"/>
              <w:keepLines w:val="0"/>
              <w:pageBreakBefore w:val="0"/>
              <w:widowControl w:val="0"/>
              <w:suppressLineNumbers w:val="0"/>
              <w:overflowPunct/>
              <w:topLinePunct w:val="0"/>
              <w:bidi w:val="0"/>
              <w:snapToGrid/>
              <w:spacing w:before="0" w:beforeAutospacing="0" w:after="0" w:afterAutospacing="0" w:line="360" w:lineRule="auto"/>
              <w:ind w:left="0" w:right="0" w:firstLine="480" w:firstLineChars="200"/>
              <w:textAlignment w:val="auto"/>
              <w:rPr>
                <w:rFonts w:hint="default" w:ascii="Times New Roman" w:hAnsi="Times New Roman" w:cs="Times New Roman"/>
                <w:b w:val="0"/>
                <w:bCs w:val="0"/>
                <w:sz w:val="24"/>
                <w:szCs w:val="24"/>
                <w:vertAlign w:val="baseline"/>
                <w:lang w:val="en-US" w:eastAsia="zh-CN"/>
              </w:rPr>
            </w:pPr>
            <w:r>
              <w:rPr>
                <w:rFonts w:hint="default" w:ascii="Times New Roman" w:hAnsi="Times New Roman" w:cs="Times New Roman"/>
                <w:b w:val="0"/>
                <w:bCs w:val="0"/>
                <w:sz w:val="24"/>
                <w:szCs w:val="24"/>
                <w:vertAlign w:val="baseline"/>
                <w:lang w:val="en-US" w:eastAsia="zh-CN"/>
              </w:rPr>
              <w:fldChar w:fldCharType="begin"/>
            </w:r>
            <w:r>
              <w:rPr>
                <w:rFonts w:hint="default" w:ascii="Times New Roman" w:hAnsi="Times New Roman" w:cs="Times New Roman"/>
                <w:b w:val="0"/>
                <w:bCs w:val="0"/>
                <w:sz w:val="24"/>
                <w:szCs w:val="24"/>
                <w:vertAlign w:val="baseline"/>
                <w:lang w:val="en-US" w:eastAsia="zh-CN"/>
              </w:rPr>
              <w:instrText xml:space="preserve"> = 5 \* GB3 \* MERGEFORMAT </w:instrText>
            </w:r>
            <w:r>
              <w:rPr>
                <w:rFonts w:hint="default" w:ascii="Times New Roman" w:hAnsi="Times New Roman" w:cs="Times New Roman"/>
                <w:b w:val="0"/>
                <w:bCs w:val="0"/>
                <w:sz w:val="24"/>
                <w:szCs w:val="24"/>
                <w:vertAlign w:val="baseline"/>
                <w:lang w:val="en-US" w:eastAsia="zh-CN"/>
              </w:rPr>
              <w:fldChar w:fldCharType="separate"/>
            </w:r>
            <w:r>
              <w:rPr>
                <w:rFonts w:hint="default" w:ascii="Times New Roman" w:hAnsi="Times New Roman" w:cs="Times New Roman"/>
                <w:b w:val="0"/>
                <w:bCs w:val="0"/>
                <w:sz w:val="24"/>
                <w:szCs w:val="24"/>
              </w:rPr>
              <w:t>⑤</w:t>
            </w:r>
            <w:r>
              <w:rPr>
                <w:rFonts w:hint="default" w:ascii="Times New Roman" w:hAnsi="Times New Roman" w:cs="Times New Roman"/>
                <w:b w:val="0"/>
                <w:bCs w:val="0"/>
                <w:sz w:val="24"/>
                <w:szCs w:val="24"/>
                <w:vertAlign w:val="baseline"/>
                <w:lang w:val="en-US" w:eastAsia="zh-CN"/>
              </w:rPr>
              <w:fldChar w:fldCharType="end"/>
            </w:r>
            <w:r>
              <w:rPr>
                <w:rFonts w:hint="default" w:ascii="Times New Roman" w:hAnsi="Times New Roman" w:cs="Times New Roman"/>
                <w:b w:val="0"/>
                <w:bCs w:val="0"/>
                <w:sz w:val="24"/>
                <w:szCs w:val="24"/>
                <w:vertAlign w:val="baseline"/>
                <w:lang w:val="en-US" w:eastAsia="zh-CN"/>
              </w:rPr>
              <w:t>食堂油烟</w:t>
            </w:r>
          </w:p>
          <w:p>
            <w:pPr>
              <w:keepNext w:val="0"/>
              <w:keepLines w:val="0"/>
              <w:pageBreakBefore w:val="0"/>
              <w:widowControl w:val="0"/>
              <w:suppressLineNumbers w:val="0"/>
              <w:overflowPunct/>
              <w:topLinePunct w:val="0"/>
              <w:bidi w:val="0"/>
              <w:snapToGrid/>
              <w:spacing w:before="0" w:beforeAutospacing="0" w:after="0" w:afterAutospacing="0" w:line="360" w:lineRule="auto"/>
              <w:ind w:left="0" w:right="0" w:firstLine="480" w:firstLineChars="200"/>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根据企业提供资料，食堂年消耗食用油4.41t/a，油烟挥发量占总耗油量的3%计，则油烟产生量约0.13t/a。油烟废气经油烟净化装置处理后排放，油烟去除率约为75%计，则油烟排放量为0.032t/a。</w:t>
            </w:r>
            <w:r>
              <w:rPr>
                <w:rFonts w:hint="default" w:ascii="Times New Roman" w:hAnsi="Times New Roman" w:cs="Times New Roman"/>
                <w:b w:val="0"/>
                <w:bCs w:val="0"/>
                <w:sz w:val="24"/>
                <w:szCs w:val="24"/>
                <w:lang w:eastAsia="zh-CN"/>
              </w:rPr>
              <w:t>根据</w:t>
            </w:r>
            <w:r>
              <w:rPr>
                <w:rFonts w:hint="default" w:ascii="Times New Roman" w:hAnsi="Times New Roman" w:cs="Times New Roman"/>
                <w:b w:val="0"/>
                <w:bCs w:val="0"/>
                <w:color w:val="000000"/>
                <w:sz w:val="24"/>
                <w:szCs w:val="24"/>
                <w:lang w:eastAsia="zh-CN"/>
              </w:rPr>
              <w:t>杭州广测环境技术有限公司出具的监测报告（杭广测检2019(HJ)字第1840号</w:t>
            </w:r>
            <w:r>
              <w:rPr>
                <w:rFonts w:hint="default" w:ascii="Times New Roman" w:hAnsi="Times New Roman" w:cs="Times New Roman"/>
                <w:b w:val="0"/>
                <w:bCs w:val="0"/>
                <w:color w:val="000000"/>
                <w:sz w:val="24"/>
                <w:szCs w:val="24"/>
                <w:lang w:val="en-US" w:eastAsia="zh-CN"/>
              </w:rPr>
              <w:t>）</w:t>
            </w:r>
            <w:r>
              <w:rPr>
                <w:rFonts w:hint="default" w:ascii="Times New Roman" w:hAnsi="Times New Roman" w:cs="Times New Roman"/>
                <w:b w:val="0"/>
                <w:bCs w:val="0"/>
                <w:sz w:val="24"/>
                <w:szCs w:val="24"/>
              </w:rPr>
              <w:t>，</w:t>
            </w:r>
            <w:r>
              <w:rPr>
                <w:rFonts w:hint="default" w:ascii="Times New Roman" w:hAnsi="Times New Roman" w:cs="Times New Roman"/>
                <w:b w:val="0"/>
                <w:bCs w:val="0"/>
                <w:sz w:val="24"/>
                <w:szCs w:val="24"/>
                <w:lang w:eastAsia="zh-CN"/>
              </w:rPr>
              <w:t>油烟排放浓度</w:t>
            </w:r>
            <w:r>
              <w:rPr>
                <w:rFonts w:hint="default" w:ascii="Times New Roman" w:hAnsi="Times New Roman" w:cs="Times New Roman"/>
                <w:b w:val="0"/>
                <w:bCs w:val="0"/>
                <w:sz w:val="24"/>
                <w:szCs w:val="24"/>
              </w:rPr>
              <w:t>达到GB18483-2001《饮食业油烟排放标准（试行）》（≤2.0mg/m</w:t>
            </w:r>
            <w:r>
              <w:rPr>
                <w:rFonts w:hint="default" w:ascii="Times New Roman" w:hAnsi="Times New Roman" w:cs="Times New Roman"/>
                <w:b w:val="0"/>
                <w:bCs w:val="0"/>
                <w:sz w:val="24"/>
                <w:szCs w:val="24"/>
                <w:vertAlign w:val="superscript"/>
              </w:rPr>
              <w:t>3</w:t>
            </w:r>
            <w:r>
              <w:rPr>
                <w:rFonts w:hint="default" w:ascii="Times New Roman" w:hAnsi="Times New Roman" w:cs="Times New Roman"/>
                <w:b w:val="0"/>
                <w:bCs w:val="0"/>
                <w:sz w:val="24"/>
                <w:szCs w:val="24"/>
              </w:rPr>
              <w:t>）中规定的限值要求。</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lang w:eastAsia="zh-CN"/>
              </w:rPr>
              <w:t>）噪声</w:t>
            </w:r>
          </w:p>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0" w:after="0" w:line="360" w:lineRule="auto"/>
              <w:ind w:leftChars="0" w:firstLine="480" w:firstLineChars="200"/>
              <w:textAlignment w:val="auto"/>
              <w:rPr>
                <w:rFonts w:hint="default" w:ascii="Times New Roman" w:hAnsi="Times New Roman" w:cs="Times New Roman"/>
                <w:color w:val="000000"/>
                <w:sz w:val="24"/>
                <w:lang w:val="en-US" w:eastAsia="zh-CN"/>
              </w:rPr>
            </w:pPr>
            <w:r>
              <w:rPr>
                <w:rFonts w:hint="default" w:ascii="Times New Roman" w:hAnsi="Times New Roman" w:cs="Times New Roman"/>
                <w:b w:val="0"/>
                <w:bCs w:val="0"/>
                <w:sz w:val="24"/>
                <w:szCs w:val="24"/>
              </w:rPr>
              <w:t>现有项目主要噪声为各生产设备运行过程产生的噪声，</w:t>
            </w:r>
            <w:r>
              <w:rPr>
                <w:rFonts w:hint="default" w:ascii="Times New Roman" w:hAnsi="Times New Roman" w:cs="Times New Roman"/>
                <w:b w:val="0"/>
                <w:bCs w:val="0"/>
                <w:sz w:val="24"/>
                <w:szCs w:val="24"/>
                <w:lang w:eastAsia="zh-CN"/>
              </w:rPr>
              <w:t>企业已针对高噪声设备安装减振基础</w:t>
            </w:r>
            <w:r>
              <w:rPr>
                <w:rFonts w:hint="default" w:ascii="Times New Roman" w:hAnsi="Times New Roman" w:cs="Times New Roman"/>
                <w:b w:val="0"/>
                <w:bCs w:val="0"/>
                <w:sz w:val="24"/>
                <w:szCs w:val="24"/>
              </w:rPr>
              <w:t>，</w:t>
            </w:r>
            <w:r>
              <w:rPr>
                <w:rFonts w:hint="default" w:ascii="Times New Roman" w:hAnsi="Times New Roman" w:cs="Times New Roman"/>
                <w:b w:val="0"/>
                <w:bCs w:val="0"/>
                <w:sz w:val="24"/>
                <w:szCs w:val="24"/>
                <w:lang w:eastAsia="zh-CN"/>
              </w:rPr>
              <w:t>并对风机等安装了消声器，门窗采用隔声材料，同时定期对高噪声生产设备进行维护，避免了运转异常导致的噪声超标，根据</w:t>
            </w:r>
            <w:r>
              <w:rPr>
                <w:rFonts w:hint="default" w:ascii="Times New Roman" w:hAnsi="Times New Roman" w:cs="Times New Roman"/>
                <w:b w:val="0"/>
                <w:bCs w:val="0"/>
                <w:color w:val="000000"/>
                <w:sz w:val="24"/>
                <w:szCs w:val="24"/>
                <w:lang w:eastAsia="zh-CN"/>
              </w:rPr>
              <w:t>杭州广测环境技术有限公司出具的监测报告（杭广测检201</w:t>
            </w:r>
            <w:r>
              <w:rPr>
                <w:rFonts w:hint="default" w:ascii="Times New Roman" w:hAnsi="Times New Roman" w:cs="Times New Roman"/>
                <w:b w:val="0"/>
                <w:bCs w:val="0"/>
                <w:color w:val="000000"/>
                <w:sz w:val="24"/>
                <w:szCs w:val="24"/>
                <w:lang w:val="en-US" w:eastAsia="zh-CN"/>
              </w:rPr>
              <w:t>9</w:t>
            </w:r>
            <w:r>
              <w:rPr>
                <w:rFonts w:hint="default" w:ascii="Times New Roman" w:hAnsi="Times New Roman" w:cs="Times New Roman"/>
                <w:b w:val="0"/>
                <w:bCs w:val="0"/>
                <w:color w:val="000000"/>
                <w:sz w:val="24"/>
                <w:szCs w:val="24"/>
                <w:lang w:eastAsia="zh-CN"/>
              </w:rPr>
              <w:t>(HJ)字第1842号</w:t>
            </w:r>
            <w:r>
              <w:rPr>
                <w:rFonts w:hint="default" w:ascii="Times New Roman" w:hAnsi="Times New Roman" w:cs="Times New Roman"/>
                <w:b w:val="0"/>
                <w:bCs w:val="0"/>
                <w:color w:val="000000"/>
                <w:sz w:val="24"/>
                <w:szCs w:val="24"/>
                <w:lang w:val="en-US" w:eastAsia="zh-CN"/>
              </w:rPr>
              <w:t>），老厂区各厂界噪声均达标排放。</w:t>
            </w:r>
          </w:p>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0" w:after="0" w:line="360" w:lineRule="auto"/>
              <w:ind w:leftChars="200"/>
              <w:textAlignment w:val="auto"/>
              <w:rPr>
                <w:rFonts w:hint="default" w:ascii="Times New Roman" w:hAnsi="Times New Roman" w:cs="Times New Roman"/>
                <w:b w:val="0"/>
                <w:bCs w:val="0"/>
                <w:color w:val="000000"/>
                <w:sz w:val="24"/>
                <w:lang w:val="en-US" w:eastAsia="zh-CN"/>
              </w:rPr>
            </w:pPr>
            <w:r>
              <w:rPr>
                <w:rFonts w:hint="default" w:ascii="Times New Roman" w:hAnsi="Times New Roman" w:cs="Times New Roman"/>
                <w:b w:val="0"/>
                <w:bCs w:val="0"/>
                <w:color w:val="000000"/>
                <w:sz w:val="24"/>
                <w:lang w:val="en-US" w:eastAsia="zh-CN"/>
              </w:rPr>
              <w:t>（4）固废</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sz w:val="24"/>
              </w:rPr>
            </w:pPr>
            <w:r>
              <w:rPr>
                <w:rFonts w:hint="default" w:ascii="Times New Roman" w:hAnsi="Times New Roman" w:cs="Times New Roman"/>
                <w:sz w:val="24"/>
                <w:lang w:eastAsia="zh-CN"/>
              </w:rPr>
              <w:t>根据调查，老厂区</w:t>
            </w:r>
            <w:r>
              <w:rPr>
                <w:rFonts w:hint="default" w:ascii="Times New Roman" w:hAnsi="Times New Roman" w:cs="Times New Roman"/>
                <w:sz w:val="24"/>
              </w:rPr>
              <w:t>现有项目固废废物处置情况见下表。</w:t>
            </w:r>
          </w:p>
          <w:p>
            <w:pPr>
              <w:keepNext w:val="0"/>
              <w:keepLines w:val="0"/>
              <w:suppressLineNumbers w:val="0"/>
              <w:spacing w:before="0" w:beforeAutospacing="0" w:after="0" w:afterAutospacing="0"/>
              <w:ind w:left="0" w:right="0" w:firstLine="482" w:firstLineChars="200"/>
              <w:jc w:val="center"/>
              <w:rPr>
                <w:rFonts w:hint="default" w:ascii="Times New Roman" w:hAnsi="Times New Roman" w:eastAsia="宋体" w:cs="Times New Roman"/>
                <w:b/>
                <w:sz w:val="24"/>
                <w:szCs w:val="24"/>
                <w:lang w:val="en-US" w:eastAsia="zh-CN"/>
              </w:rPr>
            </w:pPr>
            <w:r>
              <w:rPr>
                <w:rFonts w:hint="default" w:ascii="Times New Roman" w:hAnsi="Times New Roman" w:cs="Times New Roman"/>
                <w:b/>
                <w:sz w:val="24"/>
                <w:szCs w:val="24"/>
              </w:rPr>
              <w:t>表</w:t>
            </w:r>
            <w:r>
              <w:rPr>
                <w:rFonts w:hint="default" w:ascii="Times New Roman" w:hAnsi="Times New Roman" w:cs="Times New Roman"/>
                <w:b/>
                <w:sz w:val="24"/>
                <w:szCs w:val="24"/>
                <w:highlight w:val="none"/>
                <w:lang w:val="en-US" w:eastAsia="zh-CN"/>
              </w:rPr>
              <w:t xml:space="preserve">4 </w:t>
            </w:r>
            <w:r>
              <w:rPr>
                <w:rFonts w:hint="default" w:ascii="Times New Roman" w:hAnsi="Times New Roman" w:cs="Times New Roman"/>
                <w:b/>
                <w:sz w:val="24"/>
                <w:szCs w:val="24"/>
              </w:rPr>
              <w:t>固废产生情况汇总表</w:t>
            </w:r>
            <w:r>
              <w:rPr>
                <w:rFonts w:hint="default" w:ascii="Times New Roman" w:hAnsi="Times New Roman" w:cs="Times New Roman"/>
                <w:b/>
                <w:sz w:val="24"/>
                <w:szCs w:val="24"/>
                <w:lang w:val="en-US" w:eastAsia="zh-CN"/>
              </w:rPr>
              <w:t xml:space="preserve">  （单位：t/a）</w:t>
            </w:r>
          </w:p>
          <w:tbl>
            <w:tblPr>
              <w:tblStyle w:val="15"/>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0"/>
              <w:gridCol w:w="1410"/>
              <w:gridCol w:w="720"/>
              <w:gridCol w:w="1090"/>
              <w:gridCol w:w="880"/>
              <w:gridCol w:w="1074"/>
              <w:gridCol w:w="1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854" w:type="pct"/>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固废名称</w:t>
                  </w:r>
                </w:p>
              </w:tc>
              <w:tc>
                <w:tcPr>
                  <w:tcW w:w="898" w:type="pct"/>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产生工序</w:t>
                  </w:r>
                </w:p>
              </w:tc>
              <w:tc>
                <w:tcPr>
                  <w:tcW w:w="458" w:type="pct"/>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形态</w:t>
                  </w:r>
                </w:p>
              </w:tc>
              <w:tc>
                <w:tcPr>
                  <w:tcW w:w="694" w:type="pct"/>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主要成分</w:t>
                  </w:r>
                </w:p>
              </w:tc>
              <w:tc>
                <w:tcPr>
                  <w:tcW w:w="560" w:type="pct"/>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产生量</w:t>
                  </w:r>
                </w:p>
              </w:tc>
              <w:tc>
                <w:tcPr>
                  <w:tcW w:w="684" w:type="pct"/>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固废属性</w:t>
                  </w:r>
                </w:p>
              </w:tc>
              <w:tc>
                <w:tcPr>
                  <w:tcW w:w="848" w:type="pct"/>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处置去向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85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次品和边角料</w:t>
                  </w:r>
                </w:p>
              </w:tc>
              <w:tc>
                <w:tcPr>
                  <w:tcW w:w="89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检验、裁剪</w:t>
                  </w:r>
                </w:p>
              </w:tc>
              <w:tc>
                <w:tcPr>
                  <w:tcW w:w="458" w:type="pct"/>
                  <w:vAlign w:val="center"/>
                </w:tcPr>
                <w:p>
                  <w:pPr>
                    <w:keepNext w:val="0"/>
                    <w:keepLines w:val="0"/>
                    <w:pageBreakBefore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固态</w:t>
                  </w:r>
                </w:p>
              </w:tc>
              <w:tc>
                <w:tcPr>
                  <w:tcW w:w="69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PVC膜等</w:t>
                  </w:r>
                </w:p>
              </w:tc>
              <w:tc>
                <w:tcPr>
                  <w:tcW w:w="560"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1800</w:t>
                  </w:r>
                </w:p>
              </w:tc>
              <w:tc>
                <w:tcPr>
                  <w:tcW w:w="68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一般固废</w:t>
                  </w:r>
                </w:p>
              </w:tc>
              <w:tc>
                <w:tcPr>
                  <w:tcW w:w="848"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废矿物油</w:t>
                  </w:r>
                </w:p>
              </w:tc>
              <w:tc>
                <w:tcPr>
                  <w:tcW w:w="89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废气净化</w:t>
                  </w:r>
                  <w:r>
                    <w:rPr>
                      <w:rFonts w:hint="default" w:ascii="Times New Roman" w:hAnsi="Times New Roman" w:cs="Times New Roman"/>
                      <w:sz w:val="21"/>
                      <w:szCs w:val="21"/>
                      <w:lang w:eastAsia="zh-CN"/>
                    </w:rPr>
                    <w:t>、导热油更换</w:t>
                  </w:r>
                </w:p>
              </w:tc>
              <w:tc>
                <w:tcPr>
                  <w:tcW w:w="45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kern w:val="0"/>
                      <w:sz w:val="21"/>
                      <w:szCs w:val="21"/>
                      <w:lang w:eastAsia="zh-CN"/>
                    </w:rPr>
                  </w:pPr>
                  <w:r>
                    <w:rPr>
                      <w:rFonts w:hint="default" w:ascii="Times New Roman" w:hAnsi="Times New Roman" w:cs="Times New Roman"/>
                      <w:kern w:val="0"/>
                      <w:sz w:val="21"/>
                      <w:szCs w:val="21"/>
                      <w:lang w:eastAsia="zh-CN"/>
                    </w:rPr>
                    <w:t>液态</w:t>
                  </w:r>
                </w:p>
              </w:tc>
              <w:tc>
                <w:tcPr>
                  <w:tcW w:w="69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DOP</w:t>
                  </w:r>
                  <w:r>
                    <w:rPr>
                      <w:rFonts w:hint="default" w:ascii="Times New Roman" w:hAnsi="Times New Roman" w:cs="Times New Roman"/>
                      <w:sz w:val="21"/>
                      <w:szCs w:val="21"/>
                      <w:lang w:eastAsia="zh-CN"/>
                    </w:rPr>
                    <w:t>、导热油</w:t>
                  </w:r>
                </w:p>
              </w:tc>
              <w:tc>
                <w:tcPr>
                  <w:tcW w:w="560"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highlight w:val="none"/>
                      <w:lang w:val="en-US" w:eastAsia="zh-CN"/>
                    </w:rPr>
                    <w:t>46.0</w:t>
                  </w:r>
                </w:p>
              </w:tc>
              <w:tc>
                <w:tcPr>
                  <w:tcW w:w="68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w:t>
                  </w:r>
                </w:p>
              </w:tc>
              <w:tc>
                <w:tcPr>
                  <w:tcW w:w="848"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委托</w:t>
                  </w:r>
                  <w:r>
                    <w:rPr>
                      <w:rFonts w:hint="default" w:ascii="Times New Roman" w:hAnsi="Times New Roman" w:eastAsia="宋体" w:cs="Times New Roman"/>
                      <w:sz w:val="21"/>
                      <w:szCs w:val="21"/>
                      <w:lang w:eastAsia="zh-CN"/>
                    </w:rPr>
                    <w:t>宁波蓝盾环保能源公司</w:t>
                  </w:r>
                  <w:r>
                    <w:rPr>
                      <w:rFonts w:hint="default" w:ascii="Times New Roman" w:hAnsi="Times New Roman" w:cs="Times New Roman"/>
                      <w:sz w:val="21"/>
                      <w:szCs w:val="21"/>
                    </w:rPr>
                    <w:t>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废包装桶</w:t>
                  </w:r>
                </w:p>
              </w:tc>
              <w:tc>
                <w:tcPr>
                  <w:tcW w:w="89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cs="Times New Roman"/>
                      <w:sz w:val="21"/>
                      <w:szCs w:val="21"/>
                    </w:rPr>
                  </w:pPr>
                  <w:r>
                    <w:rPr>
                      <w:rFonts w:hint="default" w:ascii="Times New Roman" w:hAnsi="Times New Roman" w:cs="Times New Roman"/>
                      <w:sz w:val="21"/>
                      <w:szCs w:val="21"/>
                    </w:rPr>
                    <w:t>浆料使用等</w:t>
                  </w:r>
                </w:p>
              </w:tc>
              <w:tc>
                <w:tcPr>
                  <w:tcW w:w="45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固态</w:t>
                  </w:r>
                </w:p>
              </w:tc>
              <w:tc>
                <w:tcPr>
                  <w:tcW w:w="69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浆料</w:t>
                  </w:r>
                  <w:r>
                    <w:rPr>
                      <w:rFonts w:hint="default" w:ascii="Times New Roman" w:hAnsi="Times New Roman" w:cs="Times New Roman"/>
                      <w:sz w:val="21"/>
                      <w:szCs w:val="21"/>
                      <w:lang w:eastAsia="zh-CN"/>
                    </w:rPr>
                    <w:t>、塑料</w:t>
                  </w:r>
                </w:p>
              </w:tc>
              <w:tc>
                <w:tcPr>
                  <w:tcW w:w="560"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3.00</w:t>
                  </w:r>
                </w:p>
              </w:tc>
              <w:tc>
                <w:tcPr>
                  <w:tcW w:w="68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w:t>
                  </w:r>
                </w:p>
              </w:tc>
              <w:tc>
                <w:tcPr>
                  <w:tcW w:w="848" w:type="pct"/>
                  <w:vMerge w:val="restar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委托</w:t>
                  </w:r>
                  <w:r>
                    <w:rPr>
                      <w:rFonts w:hint="default" w:ascii="Times New Roman" w:hAnsi="Times New Roman" w:eastAsia="宋体" w:cs="Times New Roman"/>
                      <w:sz w:val="21"/>
                      <w:szCs w:val="21"/>
                      <w:u w:val="none"/>
                      <w:lang w:eastAsia="zh-CN"/>
                    </w:rPr>
                    <w:t>舟山市纳海固体废物集中处置有限公司</w:t>
                  </w:r>
                  <w:r>
                    <w:rPr>
                      <w:rFonts w:hint="default" w:ascii="Times New Roman" w:hAnsi="Times New Roman" w:cs="Times New Roman"/>
                      <w:sz w:val="21"/>
                      <w:szCs w:val="21"/>
                    </w:rPr>
                    <w:t>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85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废溶剂</w:t>
                  </w:r>
                  <w:r>
                    <w:rPr>
                      <w:rFonts w:hint="default" w:ascii="Times New Roman" w:hAnsi="Times New Roman" w:cs="Times New Roman"/>
                      <w:sz w:val="21"/>
                      <w:szCs w:val="21"/>
                      <w:lang w:eastAsia="zh-CN"/>
                    </w:rPr>
                    <w:t>、喷淋液</w:t>
                  </w:r>
                </w:p>
              </w:tc>
              <w:tc>
                <w:tcPr>
                  <w:tcW w:w="89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表处</w:t>
                  </w:r>
                  <w:r>
                    <w:rPr>
                      <w:rFonts w:hint="default" w:ascii="Times New Roman" w:hAnsi="Times New Roman" w:cs="Times New Roman"/>
                      <w:sz w:val="21"/>
                      <w:szCs w:val="21"/>
                      <w:lang w:eastAsia="zh-CN"/>
                    </w:rPr>
                    <w:t>、废气喷淋</w:t>
                  </w:r>
                </w:p>
              </w:tc>
              <w:tc>
                <w:tcPr>
                  <w:tcW w:w="45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液态</w:t>
                  </w:r>
                </w:p>
              </w:tc>
              <w:tc>
                <w:tcPr>
                  <w:tcW w:w="69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有机溶剂</w:t>
                  </w:r>
                </w:p>
              </w:tc>
              <w:tc>
                <w:tcPr>
                  <w:tcW w:w="560"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54.86</w:t>
                  </w:r>
                </w:p>
              </w:tc>
              <w:tc>
                <w:tcPr>
                  <w:tcW w:w="68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w:t>
                  </w:r>
                </w:p>
              </w:tc>
              <w:tc>
                <w:tcPr>
                  <w:tcW w:w="848" w:type="pct"/>
                  <w:vMerge w:val="continue"/>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废抹布</w:t>
                  </w:r>
                </w:p>
              </w:tc>
              <w:tc>
                <w:tcPr>
                  <w:tcW w:w="89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擦拭</w:t>
                  </w:r>
                </w:p>
              </w:tc>
              <w:tc>
                <w:tcPr>
                  <w:tcW w:w="45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固态</w:t>
                  </w:r>
                </w:p>
              </w:tc>
              <w:tc>
                <w:tcPr>
                  <w:tcW w:w="69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纤维等</w:t>
                  </w:r>
                </w:p>
              </w:tc>
              <w:tc>
                <w:tcPr>
                  <w:tcW w:w="560"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7.87</w:t>
                  </w:r>
                </w:p>
              </w:tc>
              <w:tc>
                <w:tcPr>
                  <w:tcW w:w="68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危险废物</w:t>
                  </w:r>
                </w:p>
              </w:tc>
              <w:tc>
                <w:tcPr>
                  <w:tcW w:w="848" w:type="pct"/>
                  <w:vMerge w:val="continue"/>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85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eastAsia="zh-CN"/>
                    </w:rPr>
                    <w:t>一般</w:t>
                  </w:r>
                  <w:r>
                    <w:rPr>
                      <w:rFonts w:hint="default" w:ascii="Times New Roman" w:hAnsi="Times New Roman" w:cs="Times New Roman"/>
                      <w:sz w:val="21"/>
                      <w:szCs w:val="21"/>
                    </w:rPr>
                    <w:t>包装材料</w:t>
                  </w:r>
                </w:p>
              </w:tc>
              <w:tc>
                <w:tcPr>
                  <w:tcW w:w="89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生产过程</w:t>
                  </w:r>
                </w:p>
              </w:tc>
              <w:tc>
                <w:tcPr>
                  <w:tcW w:w="45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固态</w:t>
                  </w:r>
                </w:p>
              </w:tc>
              <w:tc>
                <w:tcPr>
                  <w:tcW w:w="69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塑料、纸</w:t>
                  </w:r>
                </w:p>
              </w:tc>
              <w:tc>
                <w:tcPr>
                  <w:tcW w:w="560"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150</w:t>
                  </w:r>
                </w:p>
              </w:tc>
              <w:tc>
                <w:tcPr>
                  <w:tcW w:w="68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一般固废</w:t>
                  </w:r>
                </w:p>
              </w:tc>
              <w:tc>
                <w:tcPr>
                  <w:tcW w:w="848"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生活垃圾</w:t>
                  </w:r>
                </w:p>
              </w:tc>
              <w:tc>
                <w:tcPr>
                  <w:tcW w:w="89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职工生活</w:t>
                  </w:r>
                </w:p>
              </w:tc>
              <w:tc>
                <w:tcPr>
                  <w:tcW w:w="458"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kern w:val="0"/>
                      <w:sz w:val="21"/>
                      <w:szCs w:val="21"/>
                    </w:rPr>
                    <w:t>固态</w:t>
                  </w:r>
                </w:p>
              </w:tc>
              <w:tc>
                <w:tcPr>
                  <w:tcW w:w="694"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生活垃圾</w:t>
                  </w:r>
                </w:p>
              </w:tc>
              <w:tc>
                <w:tcPr>
                  <w:tcW w:w="560" w:type="pct"/>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250</w:t>
                  </w:r>
                </w:p>
              </w:tc>
              <w:tc>
                <w:tcPr>
                  <w:tcW w:w="684"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一般固废</w:t>
                  </w:r>
                </w:p>
              </w:tc>
              <w:tc>
                <w:tcPr>
                  <w:tcW w:w="848" w:type="pct"/>
                  <w:vAlign w:val="center"/>
                </w:tcPr>
                <w:p>
                  <w:pPr>
                    <w:keepNext w:val="0"/>
                    <w:keepLines w:val="0"/>
                    <w:pageBreakBefore w:val="0"/>
                    <w:widowControl/>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环卫清运</w:t>
                  </w:r>
                </w:p>
              </w:tc>
            </w:tr>
          </w:tbl>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164" w:beforeLines="50" w:after="0" w:line="360" w:lineRule="auto"/>
              <w:ind w:leftChars="200"/>
              <w:textAlignment w:val="auto"/>
              <w:rPr>
                <w:rFonts w:hint="default" w:ascii="Times New Roman" w:hAnsi="Times New Roman" w:cs="Times New Roman"/>
                <w:b w:val="0"/>
                <w:bCs w:val="0"/>
                <w:sz w:val="24"/>
              </w:rPr>
            </w:pPr>
            <w:r>
              <w:rPr>
                <w:rFonts w:hint="default" w:ascii="Times New Roman" w:hAnsi="Times New Roman" w:cs="Times New Roman"/>
                <w:b w:val="0"/>
                <w:bCs w:val="0"/>
                <w:sz w:val="24"/>
              </w:rPr>
              <w:t>从上表可以看出，企业</w:t>
            </w:r>
            <w:r>
              <w:rPr>
                <w:rFonts w:hint="default" w:ascii="Times New Roman" w:hAnsi="Times New Roman" w:cs="Times New Roman"/>
                <w:b w:val="0"/>
                <w:bCs w:val="0"/>
                <w:sz w:val="24"/>
                <w:lang w:eastAsia="zh-CN"/>
              </w:rPr>
              <w:t>老厂区</w:t>
            </w:r>
            <w:r>
              <w:rPr>
                <w:rFonts w:hint="default" w:ascii="Times New Roman" w:hAnsi="Times New Roman" w:cs="Times New Roman"/>
                <w:b w:val="0"/>
                <w:bCs w:val="0"/>
                <w:sz w:val="24"/>
              </w:rPr>
              <w:t>现有项目产生的固废均得到合理处置。</w:t>
            </w:r>
          </w:p>
          <w:p>
            <w:pPr>
              <w:pStyle w:val="3"/>
              <w:keepNext w:val="0"/>
              <w:keepLines w:val="0"/>
              <w:pageBreakBefore w:val="0"/>
              <w:widowControl w:val="0"/>
              <w:numPr>
                <w:ilvl w:val="0"/>
                <w:numId w:val="3"/>
              </w:numPr>
              <w:shd w:val="clear"/>
              <w:kinsoku/>
              <w:wordWrap w:val="0"/>
              <w:overflowPunct/>
              <w:topLinePunct w:val="0"/>
              <w:autoSpaceDE/>
              <w:autoSpaceDN/>
              <w:bidi w:val="0"/>
              <w:adjustRightInd/>
              <w:snapToGrid/>
              <w:spacing w:before="164" w:beforeLines="50" w:after="0" w:line="360" w:lineRule="auto"/>
              <w:ind w:left="0" w:leftChars="0" w:firstLine="480" w:firstLineChars="200"/>
              <w:textAlignment w:val="auto"/>
              <w:rPr>
                <w:rFonts w:hint="eastAsia" w:ascii="Times New Roman" w:hAnsi="Times New Roman" w:cs="Times New Roman"/>
                <w:b w:val="0"/>
                <w:bCs w:val="0"/>
                <w:sz w:val="24"/>
                <w:lang w:eastAsia="zh-CN"/>
              </w:rPr>
            </w:pPr>
            <w:r>
              <w:rPr>
                <w:rFonts w:hint="eastAsia" w:ascii="Times New Roman" w:hAnsi="Times New Roman" w:cs="Times New Roman"/>
                <w:b w:val="0"/>
                <w:bCs w:val="0"/>
                <w:sz w:val="24"/>
                <w:lang w:eastAsia="zh-CN"/>
              </w:rPr>
              <w:t>老厂区污染物排放量</w:t>
            </w:r>
          </w:p>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164" w:beforeLines="50" w:after="0" w:line="360" w:lineRule="auto"/>
              <w:ind w:leftChars="200"/>
              <w:textAlignment w:val="auto"/>
              <w:rPr>
                <w:rFonts w:hint="eastAsia" w:ascii="Times New Roman" w:hAnsi="Times New Roman" w:cs="Times New Roman"/>
                <w:b w:val="0"/>
                <w:bCs w:val="0"/>
                <w:sz w:val="24"/>
                <w:lang w:val="en-US" w:eastAsia="zh-CN"/>
              </w:rPr>
            </w:pPr>
            <w:r>
              <w:rPr>
                <w:rFonts w:hint="eastAsia" w:ascii="Times New Roman" w:hAnsi="Times New Roman" w:cs="Times New Roman"/>
                <w:b w:val="0"/>
                <w:bCs w:val="0"/>
                <w:sz w:val="24"/>
                <w:lang w:val="en-US" w:eastAsia="zh-CN"/>
              </w:rPr>
              <w:t>根据调查，老厂区污染物排放如下：</w:t>
            </w:r>
          </w:p>
          <w:p>
            <w:pPr>
              <w:pStyle w:val="4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表</w:t>
            </w:r>
            <w:r>
              <w:rPr>
                <w:rFonts w:hint="eastAsia"/>
                <w:b/>
                <w:sz w:val="24"/>
                <w:szCs w:val="24"/>
                <w:highlight w:val="none"/>
                <w:lang w:val="en-US" w:eastAsia="zh-CN"/>
              </w:rPr>
              <w:t xml:space="preserve">5 </w:t>
            </w:r>
            <w:r>
              <w:rPr>
                <w:rFonts w:hint="default" w:ascii="Times New Roman" w:hAnsi="Times New Roman" w:eastAsia="宋体" w:cs="Times New Roman"/>
                <w:color w:val="auto"/>
                <w:sz w:val="24"/>
              </w:rPr>
              <w:t>现有项目</w:t>
            </w:r>
            <w:r>
              <w:rPr>
                <w:rFonts w:hint="default" w:ascii="Times New Roman" w:hAnsi="Times New Roman" w:eastAsia="宋体" w:cs="Times New Roman"/>
                <w:color w:val="auto"/>
                <w:sz w:val="24"/>
                <w:lang w:eastAsia="zh-CN"/>
              </w:rPr>
              <w:t>总量控制符合性</w:t>
            </w:r>
            <w:r>
              <w:rPr>
                <w:rFonts w:hint="default" w:ascii="Times New Roman" w:hAnsi="Times New Roman" w:eastAsia="宋体" w:cs="Times New Roman"/>
                <w:color w:val="auto"/>
                <w:sz w:val="24"/>
                <w:lang w:val="en-US" w:eastAsia="zh-CN"/>
              </w:rPr>
              <w:t xml:space="preserve"> （单位：t/a）</w:t>
            </w:r>
          </w:p>
          <w:tbl>
            <w:tblPr>
              <w:tblStyle w:val="15"/>
              <w:tblW w:w="7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6"/>
              <w:gridCol w:w="2631"/>
              <w:gridCol w:w="26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6" w:hRule="atLeast"/>
                <w:jc w:val="center"/>
              </w:trPr>
              <w:tc>
                <w:tcPr>
                  <w:tcW w:w="225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指标</w:t>
                  </w:r>
                </w:p>
              </w:tc>
              <w:tc>
                <w:tcPr>
                  <w:tcW w:w="263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排放量</w:t>
                  </w:r>
                </w:p>
              </w:tc>
              <w:tc>
                <w:tcPr>
                  <w:tcW w:w="263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总量控制指标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25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kern w:val="0"/>
                      <w:sz w:val="21"/>
                      <w:szCs w:val="21"/>
                      <w:lang w:eastAsia="zh-CN"/>
                    </w:rPr>
                  </w:pPr>
                  <w:r>
                    <w:rPr>
                      <w:rFonts w:hint="eastAsia" w:ascii="Times New Roman" w:hAnsi="Times New Roman" w:cs="Times New Roman"/>
                      <w:color w:val="auto"/>
                      <w:kern w:val="0"/>
                      <w:sz w:val="21"/>
                      <w:szCs w:val="21"/>
                      <w:lang w:eastAsia="zh-CN"/>
                    </w:rPr>
                    <w:t>废水量</w:t>
                  </w:r>
                </w:p>
              </w:tc>
              <w:tc>
                <w:tcPr>
                  <w:tcW w:w="263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23600</w:t>
                  </w:r>
                </w:p>
              </w:tc>
              <w:tc>
                <w:tcPr>
                  <w:tcW w:w="263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24800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225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sz w:val="21"/>
                      <w:szCs w:val="21"/>
                    </w:rPr>
                    <w:t>COD</w:t>
                  </w:r>
                  <w:r>
                    <w:rPr>
                      <w:rFonts w:hint="default"/>
                      <w:sz w:val="21"/>
                      <w:szCs w:val="21"/>
                      <w:vertAlign w:val="subscript"/>
                    </w:rPr>
                    <w:t>Cr</w:t>
                  </w:r>
                </w:p>
              </w:tc>
              <w:tc>
                <w:tcPr>
                  <w:tcW w:w="2631" w:type="dxa"/>
                  <w:noWrap w:val="0"/>
                  <w:vAlign w:val="center"/>
                </w:tcPr>
                <w:p>
                  <w:pPr>
                    <w:keepNext w:val="0"/>
                    <w:keepLines w:val="0"/>
                    <w:suppressLineNumbers w:val="0"/>
                    <w:spacing w:before="0" w:beforeAutospacing="0" w:after="0" w:afterAutospacing="0"/>
                    <w:ind w:left="0" w:right="0" w:firstLine="42" w:firstLineChars="20"/>
                    <w:jc w:val="center"/>
                    <w:rPr>
                      <w:rFonts w:hint="eastAsia" w:ascii="Times New Roman" w:hAnsi="宋体" w:eastAsia="宋体" w:cs="Times New Roman"/>
                      <w:kern w:val="2"/>
                      <w:sz w:val="21"/>
                      <w:szCs w:val="21"/>
                      <w:lang w:val="en-US" w:eastAsia="zh-CN" w:bidi="ar-SA"/>
                    </w:rPr>
                  </w:pPr>
                  <w:r>
                    <w:rPr>
                      <w:rFonts w:hint="eastAsia" w:hAnsi="宋体" w:cs="Times New Roman"/>
                      <w:kern w:val="2"/>
                      <w:sz w:val="21"/>
                      <w:szCs w:val="21"/>
                      <w:lang w:val="en-US" w:eastAsia="zh-CN" w:bidi="ar-SA"/>
                    </w:rPr>
                    <w:t>1.18</w:t>
                  </w:r>
                </w:p>
              </w:tc>
              <w:tc>
                <w:tcPr>
                  <w:tcW w:w="2631" w:type="dxa"/>
                  <w:noWrap w:val="0"/>
                  <w:vAlign w:val="center"/>
                </w:tcPr>
                <w:p>
                  <w:pPr>
                    <w:keepNext w:val="0"/>
                    <w:keepLines w:val="0"/>
                    <w:suppressLineNumbers w:val="0"/>
                    <w:spacing w:before="0" w:beforeAutospacing="0" w:after="0" w:afterAutospacing="0"/>
                    <w:ind w:left="0" w:right="0" w:firstLine="42" w:firstLineChars="20"/>
                    <w:jc w:val="center"/>
                    <w:rPr>
                      <w:rFonts w:hint="default" w:ascii="Times New Roman" w:hAnsi="宋体" w:eastAsia="宋体" w:cs="Times New Roman"/>
                      <w:kern w:val="2"/>
                      <w:sz w:val="21"/>
                      <w:szCs w:val="21"/>
                      <w:lang w:val="en-US" w:eastAsia="zh-CN" w:bidi="ar-SA"/>
                    </w:rPr>
                  </w:pPr>
                  <w:r>
                    <w:rPr>
                      <w:rFonts w:hint="eastAsia" w:hAnsi="宋体"/>
                      <w:sz w:val="21"/>
                      <w:szCs w:val="21"/>
                    </w:rPr>
                    <w:t>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25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sz w:val="21"/>
                      <w:szCs w:val="21"/>
                    </w:rPr>
                    <w:t>NH</w:t>
                  </w:r>
                  <w:r>
                    <w:rPr>
                      <w:rFonts w:hint="default"/>
                      <w:sz w:val="21"/>
                      <w:szCs w:val="21"/>
                      <w:vertAlign w:val="subscript"/>
                    </w:rPr>
                    <w:t>3</w:t>
                  </w:r>
                  <w:r>
                    <w:rPr>
                      <w:rFonts w:hint="default"/>
                      <w:sz w:val="21"/>
                      <w:szCs w:val="21"/>
                    </w:rPr>
                    <w:t>-N</w:t>
                  </w:r>
                </w:p>
              </w:tc>
              <w:tc>
                <w:tcPr>
                  <w:tcW w:w="2631" w:type="dxa"/>
                  <w:noWrap w:val="0"/>
                  <w:vAlign w:val="center"/>
                </w:tcPr>
                <w:p>
                  <w:pPr>
                    <w:keepNext w:val="0"/>
                    <w:keepLines w:val="0"/>
                    <w:suppressLineNumbers w:val="0"/>
                    <w:spacing w:before="0" w:beforeAutospacing="0" w:after="0" w:afterAutospacing="0"/>
                    <w:ind w:left="0" w:right="0" w:firstLine="42" w:firstLineChars="20"/>
                    <w:jc w:val="center"/>
                    <w:rPr>
                      <w:rFonts w:hint="eastAsia" w:ascii="Times New Roman" w:hAnsi="宋体" w:eastAsia="宋体" w:cs="Times New Roman"/>
                      <w:kern w:val="2"/>
                      <w:sz w:val="21"/>
                      <w:szCs w:val="21"/>
                      <w:lang w:val="en-US" w:eastAsia="zh-CN" w:bidi="ar-SA"/>
                    </w:rPr>
                  </w:pPr>
                  <w:r>
                    <w:rPr>
                      <w:rFonts w:hint="eastAsia" w:hAnsi="宋体" w:cs="Times New Roman"/>
                      <w:kern w:val="2"/>
                      <w:sz w:val="21"/>
                      <w:szCs w:val="21"/>
                      <w:lang w:val="en-US" w:eastAsia="zh-CN" w:bidi="ar-SA"/>
                    </w:rPr>
                    <w:t>0.118</w:t>
                  </w:r>
                </w:p>
              </w:tc>
              <w:tc>
                <w:tcPr>
                  <w:tcW w:w="2631" w:type="dxa"/>
                  <w:noWrap w:val="0"/>
                  <w:vAlign w:val="center"/>
                </w:tcPr>
                <w:p>
                  <w:pPr>
                    <w:keepNext w:val="0"/>
                    <w:keepLines w:val="0"/>
                    <w:suppressLineNumbers w:val="0"/>
                    <w:spacing w:before="0" w:beforeAutospacing="0" w:after="0" w:afterAutospacing="0"/>
                    <w:ind w:left="0" w:right="0" w:firstLine="42" w:firstLineChars="20"/>
                    <w:jc w:val="center"/>
                    <w:rPr>
                      <w:rFonts w:hint="default" w:ascii="Times New Roman" w:hAnsi="宋体" w:eastAsia="宋体" w:cs="Times New Roman"/>
                      <w:kern w:val="2"/>
                      <w:sz w:val="21"/>
                      <w:szCs w:val="21"/>
                      <w:lang w:val="en-US" w:eastAsia="zh-CN" w:bidi="ar-SA"/>
                    </w:rPr>
                  </w:pPr>
                  <w:r>
                    <w:rPr>
                      <w:rFonts w:hint="eastAsia" w:hAnsi="宋体"/>
                      <w:sz w:val="21"/>
                      <w:szCs w:val="21"/>
                    </w:rPr>
                    <w:t>0.124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256"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kern w:val="0"/>
                      <w:sz w:val="21"/>
                      <w:szCs w:val="21"/>
                      <w:lang w:val="en-US" w:eastAsia="zh-CN" w:bidi="ar-SA"/>
                    </w:rPr>
                  </w:pPr>
                  <w:r>
                    <w:rPr>
                      <w:rFonts w:hint="eastAsia"/>
                      <w:kern w:val="0"/>
                      <w:sz w:val="21"/>
                      <w:szCs w:val="21"/>
                    </w:rPr>
                    <w:t>SO</w:t>
                  </w:r>
                  <w:r>
                    <w:rPr>
                      <w:rFonts w:hint="eastAsia"/>
                      <w:kern w:val="0"/>
                      <w:sz w:val="21"/>
                      <w:szCs w:val="21"/>
                      <w:vertAlign w:val="subscript"/>
                    </w:rPr>
                    <w:t>2</w:t>
                  </w:r>
                </w:p>
              </w:tc>
              <w:tc>
                <w:tcPr>
                  <w:tcW w:w="2631" w:type="dxa"/>
                  <w:noWrap w:val="0"/>
                  <w:vAlign w:val="center"/>
                </w:tcPr>
                <w:p>
                  <w:pPr>
                    <w:keepNext w:val="0"/>
                    <w:keepLines w:val="0"/>
                    <w:suppressLineNumbers w:val="0"/>
                    <w:spacing w:before="0" w:beforeAutospacing="0" w:after="0" w:afterAutospacing="0"/>
                    <w:ind w:left="0" w:right="0"/>
                    <w:jc w:val="center"/>
                    <w:rPr>
                      <w:rFonts w:hint="default" w:cs="Times New Roman"/>
                      <w:kern w:val="0"/>
                      <w:sz w:val="21"/>
                      <w:szCs w:val="21"/>
                      <w:lang w:val="en-US" w:eastAsia="zh-CN" w:bidi="ar-SA"/>
                    </w:rPr>
                  </w:pPr>
                  <w:r>
                    <w:rPr>
                      <w:rFonts w:hint="eastAsia" w:cs="Times New Roman"/>
                      <w:kern w:val="0"/>
                      <w:sz w:val="21"/>
                      <w:szCs w:val="21"/>
                      <w:lang w:val="en-US" w:eastAsia="zh-CN" w:bidi="ar-SA"/>
                    </w:rPr>
                    <w:t>0.36</w:t>
                  </w:r>
                </w:p>
              </w:tc>
              <w:tc>
                <w:tcPr>
                  <w:tcW w:w="263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0"/>
                      <w:sz w:val="21"/>
                      <w:szCs w:val="21"/>
                      <w:lang w:val="en-US" w:eastAsia="zh-CN" w:bidi="ar-SA"/>
                    </w:rPr>
                  </w:pPr>
                  <w:r>
                    <w:rPr>
                      <w:rFonts w:hint="eastAsia"/>
                      <w:kern w:val="0"/>
                      <w:sz w:val="21"/>
                      <w:szCs w:val="21"/>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256"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kern w:val="0"/>
                      <w:sz w:val="21"/>
                      <w:szCs w:val="21"/>
                      <w:lang w:val="en-US" w:eastAsia="zh-CN" w:bidi="ar-SA"/>
                    </w:rPr>
                  </w:pPr>
                  <w:r>
                    <w:rPr>
                      <w:rFonts w:hint="eastAsia"/>
                      <w:kern w:val="0"/>
                      <w:sz w:val="21"/>
                      <w:szCs w:val="21"/>
                    </w:rPr>
                    <w:t>NO</w:t>
                  </w:r>
                  <w:r>
                    <w:rPr>
                      <w:rFonts w:hint="eastAsia"/>
                      <w:kern w:val="0"/>
                      <w:sz w:val="21"/>
                      <w:szCs w:val="21"/>
                      <w:vertAlign w:val="subscript"/>
                    </w:rPr>
                    <w:t>x</w:t>
                  </w:r>
                </w:p>
              </w:tc>
              <w:tc>
                <w:tcPr>
                  <w:tcW w:w="2631" w:type="dxa"/>
                  <w:noWrap w:val="0"/>
                  <w:vAlign w:val="center"/>
                </w:tcPr>
                <w:p>
                  <w:pPr>
                    <w:keepNext w:val="0"/>
                    <w:keepLines w:val="0"/>
                    <w:suppressLineNumbers w:val="0"/>
                    <w:spacing w:before="0" w:beforeAutospacing="0" w:after="0" w:afterAutospacing="0"/>
                    <w:ind w:left="0" w:right="0"/>
                    <w:jc w:val="center"/>
                    <w:rPr>
                      <w:rFonts w:hint="default" w:cs="Times New Roman"/>
                      <w:kern w:val="0"/>
                      <w:sz w:val="21"/>
                      <w:szCs w:val="21"/>
                      <w:highlight w:val="none"/>
                      <w:lang w:val="en-US" w:eastAsia="zh-CN" w:bidi="ar-SA"/>
                    </w:rPr>
                  </w:pPr>
                  <w:r>
                    <w:rPr>
                      <w:rFonts w:hint="eastAsia" w:cs="Times New Roman"/>
                      <w:kern w:val="0"/>
                      <w:sz w:val="21"/>
                      <w:szCs w:val="21"/>
                      <w:highlight w:val="none"/>
                      <w:lang w:val="en-US" w:eastAsia="zh-CN" w:bidi="ar-SA"/>
                    </w:rPr>
                    <w:t>4.44</w:t>
                  </w:r>
                </w:p>
              </w:tc>
              <w:tc>
                <w:tcPr>
                  <w:tcW w:w="263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0"/>
                      <w:sz w:val="21"/>
                      <w:szCs w:val="21"/>
                      <w:lang w:val="en-US" w:eastAsia="zh-CN" w:bidi="ar-SA"/>
                    </w:rPr>
                  </w:pPr>
                  <w:r>
                    <w:rPr>
                      <w:rFonts w:hint="eastAsia"/>
                      <w:kern w:val="0"/>
                      <w:sz w:val="21"/>
                      <w:szCs w:val="21"/>
                    </w:rPr>
                    <w:t>10.06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256"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kern w:val="0"/>
                      <w:sz w:val="21"/>
                      <w:szCs w:val="21"/>
                      <w:lang w:val="en-US" w:eastAsia="zh-CN" w:bidi="ar-SA"/>
                    </w:rPr>
                  </w:pPr>
                  <w:r>
                    <w:rPr>
                      <w:rFonts w:hint="eastAsia"/>
                      <w:kern w:val="0"/>
                      <w:sz w:val="21"/>
                      <w:szCs w:val="21"/>
                    </w:rPr>
                    <w:t>工业烟粉尘</w:t>
                  </w:r>
                </w:p>
              </w:tc>
              <w:tc>
                <w:tcPr>
                  <w:tcW w:w="2631" w:type="dxa"/>
                  <w:noWrap w:val="0"/>
                  <w:vAlign w:val="center"/>
                </w:tcPr>
                <w:p>
                  <w:pPr>
                    <w:keepNext w:val="0"/>
                    <w:keepLines w:val="0"/>
                    <w:suppressLineNumbers w:val="0"/>
                    <w:spacing w:before="0" w:beforeAutospacing="0" w:after="0" w:afterAutospacing="0"/>
                    <w:ind w:left="0" w:right="0"/>
                    <w:jc w:val="center"/>
                    <w:rPr>
                      <w:rFonts w:hint="default" w:cs="Times New Roman"/>
                      <w:kern w:val="0"/>
                      <w:sz w:val="21"/>
                      <w:szCs w:val="21"/>
                      <w:lang w:val="en-US" w:eastAsia="zh-CN" w:bidi="ar-SA"/>
                    </w:rPr>
                  </w:pPr>
                  <w:r>
                    <w:rPr>
                      <w:rFonts w:hint="eastAsia" w:cs="Times New Roman"/>
                      <w:kern w:val="0"/>
                      <w:sz w:val="21"/>
                      <w:szCs w:val="21"/>
                      <w:lang w:val="en-US" w:eastAsia="zh-CN" w:bidi="ar-SA"/>
                    </w:rPr>
                    <w:t>0.0426</w:t>
                  </w:r>
                </w:p>
              </w:tc>
              <w:tc>
                <w:tcPr>
                  <w:tcW w:w="263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0"/>
                      <w:sz w:val="21"/>
                      <w:szCs w:val="21"/>
                      <w:lang w:val="en-US" w:eastAsia="zh-CN" w:bidi="ar-SA"/>
                    </w:rPr>
                  </w:pPr>
                  <w:r>
                    <w:rPr>
                      <w:rFonts w:hint="eastAsia"/>
                      <w:kern w:val="0"/>
                      <w:sz w:val="21"/>
                      <w:szCs w:val="21"/>
                    </w:rPr>
                    <w:t>0.0426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256" w:type="dxa"/>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kern w:val="0"/>
                      <w:sz w:val="21"/>
                      <w:szCs w:val="21"/>
                      <w:lang w:val="en-US" w:eastAsia="zh-CN" w:bidi="ar-SA"/>
                    </w:rPr>
                  </w:pPr>
                  <w:r>
                    <w:rPr>
                      <w:rFonts w:hint="default"/>
                      <w:kern w:val="0"/>
                      <w:sz w:val="21"/>
                      <w:szCs w:val="21"/>
                    </w:rPr>
                    <w:t>VOCs</w:t>
                  </w:r>
                </w:p>
              </w:tc>
              <w:tc>
                <w:tcPr>
                  <w:tcW w:w="2631" w:type="dxa"/>
                  <w:noWrap w:val="0"/>
                  <w:vAlign w:val="center"/>
                </w:tcPr>
                <w:p>
                  <w:pPr>
                    <w:keepNext w:val="0"/>
                    <w:keepLines w:val="0"/>
                    <w:suppressLineNumbers w:val="0"/>
                    <w:spacing w:before="0" w:beforeAutospacing="0" w:after="0" w:afterAutospacing="0"/>
                    <w:ind w:left="0" w:right="0"/>
                    <w:jc w:val="center"/>
                    <w:rPr>
                      <w:rFonts w:hint="default" w:cs="Times New Roman"/>
                      <w:kern w:val="0"/>
                      <w:sz w:val="21"/>
                      <w:szCs w:val="21"/>
                      <w:highlight w:val="none"/>
                      <w:lang w:val="en-US" w:eastAsia="zh-CN" w:bidi="ar-SA"/>
                    </w:rPr>
                  </w:pPr>
                  <w:r>
                    <w:rPr>
                      <w:rFonts w:hint="eastAsia" w:cs="Times New Roman"/>
                      <w:kern w:val="0"/>
                      <w:sz w:val="21"/>
                      <w:szCs w:val="21"/>
                      <w:highlight w:val="none"/>
                      <w:lang w:val="en-US" w:eastAsia="zh-CN" w:bidi="ar-SA"/>
                    </w:rPr>
                    <w:t>19.05</w:t>
                  </w:r>
                </w:p>
              </w:tc>
              <w:tc>
                <w:tcPr>
                  <w:tcW w:w="263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0"/>
                      <w:sz w:val="21"/>
                      <w:szCs w:val="21"/>
                      <w:lang w:val="en-US" w:eastAsia="zh-CN" w:bidi="ar-SA"/>
                    </w:rPr>
                  </w:pPr>
                  <w:r>
                    <w:rPr>
                      <w:rFonts w:hint="eastAsia"/>
                      <w:kern w:val="0"/>
                      <w:sz w:val="21"/>
                      <w:szCs w:val="21"/>
                    </w:rPr>
                    <w:t>19.69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256" w:type="dxa"/>
                  <w:noWrap w:val="0"/>
                  <w:vAlign w:val="center"/>
                </w:tcPr>
                <w:p>
                  <w:pPr>
                    <w:keepNext w:val="0"/>
                    <w:keepLines w:val="0"/>
                    <w:widowControl/>
                    <w:suppressLineNumbers w:val="0"/>
                    <w:spacing w:before="0" w:beforeAutospacing="0" w:after="0" w:afterAutospacing="0"/>
                    <w:ind w:left="0" w:right="0"/>
                    <w:jc w:val="center"/>
                    <w:rPr>
                      <w:rFonts w:hint="default" w:eastAsia="宋体"/>
                      <w:kern w:val="0"/>
                      <w:sz w:val="21"/>
                      <w:szCs w:val="21"/>
                      <w:lang w:val="en-US" w:eastAsia="zh-CN"/>
                    </w:rPr>
                  </w:pPr>
                  <w:r>
                    <w:rPr>
                      <w:rFonts w:hint="eastAsia"/>
                      <w:kern w:val="0"/>
                      <w:sz w:val="21"/>
                      <w:szCs w:val="21"/>
                      <w:lang w:val="en-US" w:eastAsia="zh-CN"/>
                    </w:rPr>
                    <w:t>HCl</w:t>
                  </w:r>
                </w:p>
              </w:tc>
              <w:tc>
                <w:tcPr>
                  <w:tcW w:w="2631" w:type="dxa"/>
                  <w:noWrap w:val="0"/>
                  <w:vAlign w:val="center"/>
                </w:tcPr>
                <w:p>
                  <w:pPr>
                    <w:keepNext w:val="0"/>
                    <w:keepLines w:val="0"/>
                    <w:suppressLineNumbers w:val="0"/>
                    <w:spacing w:before="0" w:beforeAutospacing="0" w:after="0" w:afterAutospacing="0"/>
                    <w:ind w:left="0" w:right="0"/>
                    <w:jc w:val="center"/>
                    <w:rPr>
                      <w:rFonts w:hint="default" w:cs="Times New Roman"/>
                      <w:kern w:val="0"/>
                      <w:sz w:val="21"/>
                      <w:szCs w:val="21"/>
                      <w:highlight w:val="none"/>
                      <w:lang w:val="en-US" w:eastAsia="zh-CN" w:bidi="ar-SA"/>
                    </w:rPr>
                  </w:pPr>
                  <w:r>
                    <w:rPr>
                      <w:rFonts w:hint="eastAsia" w:cs="Times New Roman"/>
                      <w:kern w:val="0"/>
                      <w:sz w:val="21"/>
                      <w:szCs w:val="21"/>
                      <w:highlight w:val="none"/>
                      <w:lang w:val="en-US" w:eastAsia="zh-CN" w:bidi="ar-SA"/>
                    </w:rPr>
                    <w:t>1.478</w:t>
                  </w:r>
                </w:p>
              </w:tc>
              <w:tc>
                <w:tcPr>
                  <w:tcW w:w="2631" w:type="dxa"/>
                  <w:noWrap w:val="0"/>
                  <w:vAlign w:val="center"/>
                </w:tcPr>
                <w:p>
                  <w:pPr>
                    <w:keepNext w:val="0"/>
                    <w:keepLines w:val="0"/>
                    <w:suppressLineNumbers w:val="0"/>
                    <w:spacing w:before="0" w:beforeAutospacing="0" w:after="0" w:afterAutospacing="0"/>
                    <w:ind w:left="0" w:right="0"/>
                    <w:jc w:val="center"/>
                    <w:rPr>
                      <w:rFonts w:hint="default" w:eastAsia="宋体"/>
                      <w:kern w:val="0"/>
                      <w:sz w:val="21"/>
                      <w:szCs w:val="21"/>
                      <w:lang w:val="en-US" w:eastAsia="zh-CN"/>
                    </w:rPr>
                  </w:pPr>
                  <w:r>
                    <w:rPr>
                      <w:rFonts w:hint="eastAsia"/>
                      <w:kern w:val="0"/>
                      <w:sz w:val="21"/>
                      <w:szCs w:val="21"/>
                      <w:lang w:val="en-US" w:eastAsia="zh-CN"/>
                    </w:rPr>
                    <w:t>2.71</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b/>
                <w:sz w:val="21"/>
                <w:szCs w:val="21"/>
                <w:lang w:val="en-US" w:eastAsia="zh-CN"/>
              </w:rPr>
            </w:pPr>
            <w:r>
              <w:rPr>
                <w:rFonts w:hint="eastAsia"/>
                <w:b/>
                <w:sz w:val="21"/>
                <w:szCs w:val="21"/>
                <w:lang w:eastAsia="zh-CN"/>
              </w:rPr>
              <w:t>注：</w:t>
            </w:r>
            <w:r>
              <w:rPr>
                <w:rFonts w:hint="eastAsia"/>
                <w:b/>
                <w:sz w:val="21"/>
                <w:szCs w:val="21"/>
                <w:lang w:val="en-US" w:eastAsia="zh-CN"/>
              </w:rPr>
              <w:t>调整后排放量是指低氮燃烧改造以及废气碱喷淋措施全部完成后相应的废水和废气污染物排放量。</w:t>
            </w:r>
          </w:p>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0" w:after="0" w:line="360" w:lineRule="auto"/>
              <w:ind w:leftChars="200"/>
              <w:textAlignment w:val="auto"/>
              <w:rPr>
                <w:rFonts w:hint="default" w:ascii="Times New Roman" w:hAnsi="Times New Roman" w:cs="Times New Roman"/>
                <w:color w:val="000000"/>
                <w:sz w:val="24"/>
                <w:lang w:val="en-US" w:eastAsia="zh-CN"/>
              </w:rPr>
            </w:pPr>
            <w:r>
              <w:rPr>
                <w:rFonts w:hint="default" w:ascii="Times New Roman" w:hAnsi="Times New Roman" w:cs="Times New Roman"/>
                <w:color w:val="000000"/>
                <w:sz w:val="24"/>
                <w:lang w:val="en-US" w:eastAsia="zh-CN"/>
              </w:rPr>
              <w:t>二、新厂区</w:t>
            </w:r>
          </w:p>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0" w:after="0" w:line="360" w:lineRule="auto"/>
              <w:ind w:leftChars="0" w:firstLine="480" w:firstLineChars="200"/>
              <w:textAlignment w:val="auto"/>
              <w:rPr>
                <w:rFonts w:hint="default" w:ascii="Times New Roman" w:hAnsi="Times New Roman" w:cs="Times New Roman"/>
                <w:b w:val="0"/>
                <w:bCs w:val="0"/>
                <w:color w:val="000000"/>
                <w:sz w:val="24"/>
                <w:lang w:val="en-US" w:eastAsia="zh-CN"/>
              </w:rPr>
            </w:pPr>
            <w:r>
              <w:rPr>
                <w:rFonts w:hint="default" w:ascii="Times New Roman" w:hAnsi="Times New Roman" w:cs="Times New Roman"/>
                <w:b w:val="0"/>
                <w:bCs w:val="0"/>
                <w:color w:val="000000"/>
                <w:sz w:val="24"/>
                <w:lang w:val="en-US" w:eastAsia="zh-CN"/>
              </w:rPr>
              <w:t>新厂区目前在建，根据原环评审批情况，各工序污染物治理情况如下：</w:t>
            </w:r>
          </w:p>
          <w:p>
            <w:pPr>
              <w:pStyle w:val="38"/>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221"/>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表</w:t>
            </w:r>
            <w:r>
              <w:rPr>
                <w:rFonts w:hint="eastAsia" w:ascii="Times New Roman" w:hAnsi="Times New Roman" w:cs="Times New Roman"/>
                <w:b w:val="0"/>
                <w:bCs/>
                <w:sz w:val="24"/>
                <w:szCs w:val="24"/>
                <w:highlight w:val="none"/>
                <w:lang w:val="en-US" w:eastAsia="zh-CN"/>
              </w:rPr>
              <w:t>6</w:t>
            </w:r>
            <w:r>
              <w:rPr>
                <w:rFonts w:hint="default" w:ascii="Times New Roman" w:hAnsi="Times New Roman" w:cs="Times New Roman"/>
                <w:b w:val="0"/>
                <w:bCs/>
                <w:sz w:val="24"/>
                <w:szCs w:val="24"/>
                <w:highlight w:val="none"/>
                <w:lang w:val="en-US" w:eastAsia="zh-CN"/>
              </w:rPr>
              <w:t xml:space="preserve"> </w:t>
            </w:r>
            <w:r>
              <w:rPr>
                <w:rFonts w:hint="default" w:ascii="Times New Roman" w:hAnsi="Times New Roman" w:cs="Times New Roman"/>
                <w:b/>
                <w:bCs/>
                <w:color w:val="auto"/>
                <w:sz w:val="24"/>
                <w:szCs w:val="24"/>
                <w:lang w:val="en-US" w:eastAsia="zh-CN"/>
              </w:rPr>
              <w:t>新厂区原审批</w:t>
            </w:r>
            <w:r>
              <w:rPr>
                <w:rFonts w:hint="default" w:ascii="Times New Roman" w:hAnsi="Times New Roman" w:eastAsia="宋体" w:cs="Times New Roman"/>
                <w:b/>
                <w:bCs/>
                <w:color w:val="auto"/>
                <w:sz w:val="24"/>
                <w:szCs w:val="24"/>
                <w:lang w:val="en-US" w:eastAsia="zh-CN"/>
              </w:rPr>
              <w:t>环保措施一览表</w:t>
            </w:r>
          </w:p>
          <w:tbl>
            <w:tblPr>
              <w:tblStyle w:val="15"/>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
              <w:gridCol w:w="1232"/>
              <w:gridCol w:w="1583"/>
              <w:gridCol w:w="3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1" w:type="pct"/>
                  <w:tcBorders>
                    <w:tl2br w:val="single" w:color="auto" w:sz="4" w:space="0"/>
                  </w:tcBorders>
                </w:tcPr>
                <w:p>
                  <w:pPr>
                    <w:keepNext w:val="0"/>
                    <w:keepLines w:val="0"/>
                    <w:suppressLineNumbers w:val="0"/>
                    <w:spacing w:before="0" w:beforeAutospacing="0" w:after="0" w:afterAutospacing="0"/>
                    <w:ind w:left="0" w:right="0"/>
                    <w:jc w:val="right"/>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 xml:space="preserve">  内容</w:t>
                  </w:r>
                </w:p>
                <w:p>
                  <w:pPr>
                    <w:keepNext w:val="0"/>
                    <w:keepLines w:val="0"/>
                    <w:suppressLineNumbers w:val="0"/>
                    <w:spacing w:before="0" w:beforeAutospacing="0" w:after="0" w:afterAutospacing="0"/>
                    <w:ind w:left="0" w:right="0"/>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类型</w:t>
                  </w:r>
                </w:p>
              </w:tc>
              <w:tc>
                <w:tcPr>
                  <w:tcW w:w="80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排放源</w:t>
                  </w:r>
                </w:p>
              </w:tc>
              <w:tc>
                <w:tcPr>
                  <w:tcW w:w="103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污染物名称</w:t>
                  </w:r>
                </w:p>
              </w:tc>
              <w:tc>
                <w:tcPr>
                  <w:tcW w:w="2571"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1"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废水</w:t>
                  </w:r>
                </w:p>
              </w:tc>
              <w:tc>
                <w:tcPr>
                  <w:tcW w:w="80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生活污水</w:t>
                  </w:r>
                </w:p>
              </w:tc>
              <w:tc>
                <w:tcPr>
                  <w:tcW w:w="103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污水量</w:t>
                  </w:r>
                </w:p>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COD</w:t>
                  </w:r>
                  <w:r>
                    <w:rPr>
                      <w:rFonts w:hint="default" w:ascii="Times New Roman" w:hAnsi="Times New Roman" w:cs="Times New Roman"/>
                      <w:color w:val="000000"/>
                      <w:sz w:val="21"/>
                      <w:szCs w:val="21"/>
                      <w:vertAlign w:val="subscript"/>
                    </w:rPr>
                    <w:t>Cr</w:t>
                  </w:r>
                  <w:r>
                    <w:rPr>
                      <w:rFonts w:hint="default" w:ascii="Times New Roman" w:hAnsi="Times New Roman" w:cs="Times New Roman"/>
                      <w:color w:val="000000"/>
                      <w:sz w:val="21"/>
                      <w:szCs w:val="21"/>
                    </w:rPr>
                    <w:t>、NH</w:t>
                  </w:r>
                  <w:r>
                    <w:rPr>
                      <w:rFonts w:hint="default" w:ascii="Times New Roman" w:hAnsi="Times New Roman" w:cs="Times New Roman"/>
                      <w:color w:val="000000"/>
                      <w:sz w:val="21"/>
                      <w:szCs w:val="21"/>
                      <w:vertAlign w:val="subscript"/>
                    </w:rPr>
                    <w:t>3</w:t>
                  </w:r>
                  <w:r>
                    <w:rPr>
                      <w:rFonts w:hint="default" w:ascii="Times New Roman" w:hAnsi="Times New Roman" w:cs="Times New Roman"/>
                      <w:color w:val="000000"/>
                      <w:sz w:val="21"/>
                      <w:szCs w:val="21"/>
                    </w:rPr>
                    <w:t>-N</w:t>
                  </w:r>
                </w:p>
              </w:tc>
              <w:tc>
                <w:tcPr>
                  <w:tcW w:w="2571" w:type="pct"/>
                  <w:vAlign w:val="center"/>
                </w:tcPr>
                <w:p>
                  <w:pPr>
                    <w:bidi w:val="0"/>
                    <w:rPr>
                      <w:rFonts w:hint="default" w:ascii="Times New Roman" w:hAnsi="Times New Roman" w:cs="Times New Roman"/>
                      <w:sz w:val="21"/>
                      <w:szCs w:val="21"/>
                    </w:rPr>
                  </w:pPr>
                  <w:r>
                    <w:rPr>
                      <w:rFonts w:hint="default" w:ascii="Times New Roman" w:hAnsi="Times New Roman" w:cs="Times New Roman"/>
                      <w:sz w:val="21"/>
                      <w:szCs w:val="21"/>
                    </w:rPr>
                    <w:t>生活污水经化粪池预处理达到《污水综合排放标准》（GB8978-1996）中三级排放标准后纳入污水管网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1" w:type="pct"/>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废气</w:t>
                  </w:r>
                </w:p>
              </w:tc>
              <w:tc>
                <w:tcPr>
                  <w:tcW w:w="80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投料</w:t>
                  </w:r>
                </w:p>
              </w:tc>
              <w:tc>
                <w:tcPr>
                  <w:tcW w:w="103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粉尘</w:t>
                  </w:r>
                </w:p>
              </w:tc>
              <w:tc>
                <w:tcPr>
                  <w:tcW w:w="2571" w:type="pct"/>
                  <w:vAlign w:val="center"/>
                </w:tcPr>
                <w:p>
                  <w:pPr>
                    <w:bidi w:val="0"/>
                    <w:rPr>
                      <w:rFonts w:hint="default" w:ascii="Times New Roman" w:hAnsi="Times New Roman" w:cs="Times New Roman"/>
                      <w:sz w:val="21"/>
                      <w:szCs w:val="21"/>
                    </w:rPr>
                  </w:pPr>
                  <w:r>
                    <w:rPr>
                      <w:rFonts w:hint="default" w:ascii="Times New Roman" w:hAnsi="Times New Roman" w:cs="Times New Roman"/>
                      <w:sz w:val="21"/>
                      <w:szCs w:val="21"/>
                    </w:rPr>
                    <w:t>收集后经布袋除尘器处理后经不低于15m排气筒排放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压延</w:t>
                  </w:r>
                </w:p>
              </w:tc>
              <w:tc>
                <w:tcPr>
                  <w:tcW w:w="1038"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rPr>
                    <w:t>氯乙烯、HCl、其他VOCs</w:t>
                  </w:r>
                  <w:r>
                    <w:rPr>
                      <w:rFonts w:hint="default" w:ascii="Times New Roman" w:hAnsi="Times New Roman" w:cs="Times New Roman"/>
                      <w:color w:val="000000"/>
                      <w:sz w:val="21"/>
                      <w:szCs w:val="21"/>
                      <w:lang w:eastAsia="zh-CN"/>
                    </w:rPr>
                    <w:t>（</w:t>
                  </w:r>
                  <w:r>
                    <w:rPr>
                      <w:rFonts w:hint="default" w:ascii="Times New Roman" w:hAnsi="Times New Roman" w:cs="Times New Roman"/>
                      <w:color w:val="000000"/>
                      <w:sz w:val="21"/>
                      <w:szCs w:val="21"/>
                      <w:lang w:val="en-US" w:eastAsia="zh-CN"/>
                    </w:rPr>
                    <w:t>DOTP、非甲烷总烃</w:t>
                  </w:r>
                  <w:r>
                    <w:rPr>
                      <w:rFonts w:hint="default" w:ascii="Times New Roman" w:hAnsi="Times New Roman" w:cs="Times New Roman"/>
                      <w:color w:val="000000"/>
                      <w:sz w:val="21"/>
                      <w:szCs w:val="21"/>
                      <w:lang w:eastAsia="zh-CN"/>
                    </w:rPr>
                    <w:t>）</w:t>
                  </w:r>
                </w:p>
              </w:tc>
              <w:tc>
                <w:tcPr>
                  <w:tcW w:w="2571" w:type="pct"/>
                  <w:vAlign w:val="center"/>
                </w:tcPr>
                <w:p>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PVC压延线：</w:t>
                  </w:r>
                  <w:r>
                    <w:rPr>
                      <w:rFonts w:hint="default" w:ascii="Times New Roman" w:hAnsi="Times New Roman" w:cs="Times New Roman"/>
                      <w:sz w:val="21"/>
                      <w:szCs w:val="21"/>
                    </w:rPr>
                    <w:t>收集后经高压静电和碱液喷淋处理后通过不低于15m排气筒排放</w:t>
                  </w:r>
                </w:p>
                <w:p>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TPU压延线：</w:t>
                  </w:r>
                  <w:r>
                    <w:rPr>
                      <w:rFonts w:hint="default" w:ascii="Times New Roman" w:hAnsi="Times New Roman" w:cs="Times New Roman"/>
                      <w:sz w:val="21"/>
                      <w:szCs w:val="21"/>
                    </w:rPr>
                    <w:t>收集后经高压静电处理后通过不低于15m排气筒排放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贴合</w:t>
                  </w:r>
                </w:p>
              </w:tc>
              <w:tc>
                <w:tcPr>
                  <w:tcW w:w="103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氯乙烯、HCl、其他VOCs</w:t>
                  </w:r>
                  <w:r>
                    <w:rPr>
                      <w:rFonts w:hint="default" w:ascii="Times New Roman" w:hAnsi="Times New Roman" w:cs="Times New Roman"/>
                      <w:color w:val="000000"/>
                      <w:sz w:val="21"/>
                      <w:szCs w:val="21"/>
                      <w:lang w:eastAsia="zh-CN"/>
                    </w:rPr>
                    <w:t>（</w:t>
                  </w:r>
                  <w:r>
                    <w:rPr>
                      <w:rFonts w:hint="default" w:ascii="Times New Roman" w:hAnsi="Times New Roman" w:cs="Times New Roman"/>
                      <w:color w:val="000000"/>
                      <w:sz w:val="21"/>
                      <w:szCs w:val="21"/>
                      <w:lang w:val="en-US" w:eastAsia="zh-CN"/>
                    </w:rPr>
                    <w:t>DOTP、非甲烷总烃</w:t>
                  </w:r>
                  <w:r>
                    <w:rPr>
                      <w:rFonts w:hint="default" w:ascii="Times New Roman" w:hAnsi="Times New Roman" w:cs="Times New Roman"/>
                      <w:color w:val="000000"/>
                      <w:sz w:val="21"/>
                      <w:szCs w:val="21"/>
                      <w:lang w:eastAsia="zh-CN"/>
                    </w:rPr>
                    <w:t>）</w:t>
                  </w:r>
                </w:p>
              </w:tc>
              <w:tc>
                <w:tcPr>
                  <w:tcW w:w="2571" w:type="pct"/>
                  <w:vAlign w:val="center"/>
                </w:tcPr>
                <w:p>
                  <w:pPr>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PVC贴合线：</w:t>
                  </w:r>
                  <w:r>
                    <w:rPr>
                      <w:rFonts w:hint="default" w:ascii="Times New Roman" w:hAnsi="Times New Roman" w:cs="Times New Roman"/>
                      <w:sz w:val="21"/>
                      <w:szCs w:val="21"/>
                    </w:rPr>
                    <w:t>收集后经高压静电和碱液喷淋处理后通过不低于15m排气筒排放</w:t>
                  </w:r>
                </w:p>
                <w:p>
                  <w:pPr>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TPU贴合线：</w:t>
                  </w:r>
                  <w:r>
                    <w:rPr>
                      <w:rFonts w:hint="default" w:ascii="Times New Roman" w:hAnsi="Times New Roman" w:cs="Times New Roman"/>
                      <w:sz w:val="21"/>
                      <w:szCs w:val="21"/>
                    </w:rPr>
                    <w:t>收集后经高压静电处理后通过不低于15m排气筒排放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燃料燃烧</w:t>
                  </w:r>
                </w:p>
              </w:tc>
              <w:tc>
                <w:tcPr>
                  <w:tcW w:w="103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SO</w:t>
                  </w:r>
                  <w:r>
                    <w:rPr>
                      <w:rFonts w:hint="default" w:ascii="Times New Roman" w:hAnsi="Times New Roman" w:cs="Times New Roman"/>
                      <w:color w:val="000000"/>
                      <w:sz w:val="21"/>
                      <w:szCs w:val="21"/>
                      <w:vertAlign w:val="subscript"/>
                    </w:rPr>
                    <w:t>2</w:t>
                  </w:r>
                  <w:r>
                    <w:rPr>
                      <w:rFonts w:hint="default" w:ascii="Times New Roman" w:hAnsi="Times New Roman" w:cs="Times New Roman"/>
                      <w:color w:val="000000"/>
                      <w:sz w:val="21"/>
                      <w:szCs w:val="21"/>
                    </w:rPr>
                    <w:t>、NO</w:t>
                  </w:r>
                  <w:r>
                    <w:rPr>
                      <w:rFonts w:hint="default" w:ascii="Times New Roman" w:hAnsi="Times New Roman" w:cs="Times New Roman"/>
                      <w:color w:val="000000"/>
                      <w:sz w:val="21"/>
                      <w:szCs w:val="21"/>
                      <w:vertAlign w:val="subscript"/>
                    </w:rPr>
                    <w:t>x</w:t>
                  </w:r>
                </w:p>
              </w:tc>
              <w:tc>
                <w:tcPr>
                  <w:tcW w:w="2571"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eastAsia="zh-CN"/>
                    </w:rPr>
                    <w:t>烟气</w:t>
                  </w:r>
                  <w:r>
                    <w:rPr>
                      <w:rFonts w:hint="default" w:ascii="Times New Roman" w:hAnsi="Times New Roman" w:cs="Times New Roman"/>
                      <w:color w:val="000000"/>
                      <w:sz w:val="21"/>
                      <w:szCs w:val="21"/>
                    </w:rPr>
                    <w:t>经低氮燃烧处理后经引风机引风至不低于8m高的排气筒排放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烹饪</w:t>
                  </w:r>
                </w:p>
              </w:tc>
              <w:tc>
                <w:tcPr>
                  <w:tcW w:w="1038"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油烟</w:t>
                  </w:r>
                </w:p>
              </w:tc>
              <w:tc>
                <w:tcPr>
                  <w:tcW w:w="2571"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经油烟净化器处理达标后排放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1" w:type="pct"/>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固废</w:t>
                  </w:r>
                </w:p>
              </w:tc>
              <w:tc>
                <w:tcPr>
                  <w:tcW w:w="808" w:type="pct"/>
                  <w:vAlign w:val="center"/>
                </w:tcPr>
                <w:p>
                  <w:pPr>
                    <w:keepNext w:val="0"/>
                    <w:keepLines w:val="0"/>
                    <w:suppressLineNumbers w:val="0"/>
                    <w:tabs>
                      <w:tab w:val="right" w:leader="dot" w:pos="9072"/>
                    </w:tabs>
                    <w:adjustRightInd w:val="0"/>
                    <w:spacing w:before="0" w:beforeAutospacing="0" w:after="0" w:afterAutospacing="0"/>
                    <w:ind w:left="-61" w:right="-66"/>
                    <w:jc w:val="center"/>
                    <w:rPr>
                      <w:rFonts w:hint="default" w:ascii="Times New Roman" w:hAnsi="Times New Roman" w:cs="Times New Roman"/>
                      <w:bCs/>
                      <w:sz w:val="21"/>
                      <w:szCs w:val="21"/>
                    </w:rPr>
                  </w:pPr>
                  <w:r>
                    <w:rPr>
                      <w:rFonts w:hint="default" w:ascii="Times New Roman" w:hAnsi="Times New Roman" w:cs="Times New Roman"/>
                      <w:bCs/>
                      <w:sz w:val="21"/>
                      <w:szCs w:val="21"/>
                    </w:rPr>
                    <w:t>沉渣</w:t>
                  </w:r>
                </w:p>
              </w:tc>
              <w:tc>
                <w:tcPr>
                  <w:tcW w:w="103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废水处理</w:t>
                  </w:r>
                </w:p>
              </w:tc>
              <w:tc>
                <w:tcPr>
                  <w:tcW w:w="2571" w:type="pct"/>
                  <w:vAlign w:val="center"/>
                </w:tcPr>
                <w:p>
                  <w:pPr>
                    <w:keepNext w:val="0"/>
                    <w:keepLines w:val="0"/>
                    <w:widowControl/>
                    <w:suppressLineNumbers w:val="0"/>
                    <w:spacing w:before="0" w:beforeAutospacing="0" w:after="0" w:afterAutospacing="0"/>
                    <w:ind w:left="-82" w:leftChars="-34" w:right="-94" w:rightChars="-39"/>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委托综合利用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tabs>
                      <w:tab w:val="right" w:leader="dot" w:pos="9072"/>
                    </w:tabs>
                    <w:adjustRightInd w:val="0"/>
                    <w:spacing w:before="0" w:beforeAutospacing="0" w:after="0" w:afterAutospacing="0"/>
                    <w:ind w:left="-61" w:right="-66"/>
                    <w:jc w:val="center"/>
                    <w:rPr>
                      <w:rFonts w:hint="default" w:ascii="Times New Roman" w:hAnsi="Times New Roman" w:cs="Times New Roman"/>
                      <w:bCs/>
                      <w:sz w:val="21"/>
                      <w:szCs w:val="21"/>
                    </w:rPr>
                  </w:pPr>
                  <w:r>
                    <w:rPr>
                      <w:rFonts w:hint="default" w:ascii="Times New Roman" w:hAnsi="Times New Roman" w:cs="Times New Roman"/>
                      <w:bCs/>
                      <w:sz w:val="21"/>
                      <w:szCs w:val="21"/>
                    </w:rPr>
                    <w:t>裁割</w:t>
                  </w:r>
                </w:p>
              </w:tc>
              <w:tc>
                <w:tcPr>
                  <w:tcW w:w="103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废边角料</w:t>
                  </w:r>
                </w:p>
              </w:tc>
              <w:tc>
                <w:tcPr>
                  <w:tcW w:w="2571" w:type="pct"/>
                  <w:vAlign w:val="center"/>
                </w:tcPr>
                <w:p>
                  <w:pPr>
                    <w:keepNext w:val="0"/>
                    <w:keepLines w:val="0"/>
                    <w:widowControl/>
                    <w:suppressLineNumbers w:val="0"/>
                    <w:spacing w:before="0" w:beforeAutospacing="0" w:after="0" w:afterAutospacing="0"/>
                    <w:ind w:left="-82" w:leftChars="-34" w:right="-94" w:rightChars="-39"/>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出售给物资公司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tabs>
                      <w:tab w:val="right" w:leader="dot" w:pos="9072"/>
                    </w:tabs>
                    <w:adjustRightInd w:val="0"/>
                    <w:spacing w:before="0" w:beforeAutospacing="0" w:after="0" w:afterAutospacing="0"/>
                    <w:ind w:left="-61" w:right="-66"/>
                    <w:jc w:val="center"/>
                    <w:rPr>
                      <w:rFonts w:hint="default" w:ascii="Times New Roman" w:hAnsi="Times New Roman" w:cs="Times New Roman"/>
                      <w:bCs/>
                      <w:sz w:val="21"/>
                      <w:szCs w:val="21"/>
                    </w:rPr>
                  </w:pPr>
                  <w:r>
                    <w:rPr>
                      <w:rFonts w:hint="default" w:ascii="Times New Roman" w:hAnsi="Times New Roman" w:cs="Times New Roman"/>
                      <w:bCs/>
                      <w:sz w:val="21"/>
                      <w:szCs w:val="21"/>
                    </w:rPr>
                    <w:t>废气处理</w:t>
                  </w:r>
                </w:p>
              </w:tc>
              <w:tc>
                <w:tcPr>
                  <w:tcW w:w="103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收集的粉尘</w:t>
                  </w:r>
                </w:p>
              </w:tc>
              <w:tc>
                <w:tcPr>
                  <w:tcW w:w="2571" w:type="pct"/>
                  <w:vAlign w:val="center"/>
                </w:tcPr>
                <w:p>
                  <w:pPr>
                    <w:keepNext w:val="0"/>
                    <w:keepLines w:val="0"/>
                    <w:widowControl/>
                    <w:suppressLineNumbers w:val="0"/>
                    <w:spacing w:before="0" w:beforeAutospacing="0" w:after="0" w:afterAutospacing="0"/>
                    <w:ind w:left="-82" w:leftChars="-34" w:right="-94" w:rightChars="-39"/>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出售给物资公司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tabs>
                      <w:tab w:val="right" w:leader="dot" w:pos="9072"/>
                    </w:tabs>
                    <w:adjustRightInd w:val="0"/>
                    <w:spacing w:before="0" w:beforeAutospacing="0" w:after="0" w:afterAutospacing="0"/>
                    <w:ind w:left="-61" w:right="-66"/>
                    <w:jc w:val="center"/>
                    <w:rPr>
                      <w:rFonts w:hint="default" w:ascii="Times New Roman" w:hAnsi="Times New Roman" w:cs="Times New Roman"/>
                      <w:bCs/>
                      <w:sz w:val="21"/>
                      <w:szCs w:val="21"/>
                    </w:rPr>
                  </w:pPr>
                  <w:r>
                    <w:rPr>
                      <w:rFonts w:hint="default" w:ascii="Times New Roman" w:hAnsi="Times New Roman" w:cs="Times New Roman"/>
                      <w:bCs/>
                      <w:sz w:val="21"/>
                      <w:szCs w:val="21"/>
                    </w:rPr>
                    <w:t>废气处理</w:t>
                  </w:r>
                </w:p>
              </w:tc>
              <w:tc>
                <w:tcPr>
                  <w:tcW w:w="103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收集的废油</w:t>
                  </w:r>
                </w:p>
              </w:tc>
              <w:tc>
                <w:tcPr>
                  <w:tcW w:w="2571" w:type="pct"/>
                  <w:vAlign w:val="center"/>
                </w:tcPr>
                <w:p>
                  <w:pPr>
                    <w:keepNext w:val="0"/>
                    <w:keepLines w:val="0"/>
                    <w:widowControl/>
                    <w:suppressLineNumbers w:val="0"/>
                    <w:spacing w:before="0" w:beforeAutospacing="0" w:after="0" w:afterAutospacing="0"/>
                    <w:ind w:left="-82" w:leftChars="-34" w:right="-94" w:rightChars="-39"/>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tabs>
                      <w:tab w:val="right" w:leader="dot" w:pos="9072"/>
                    </w:tabs>
                    <w:adjustRightInd w:val="0"/>
                    <w:spacing w:before="0" w:beforeAutospacing="0" w:after="0" w:afterAutospacing="0"/>
                    <w:ind w:left="-61" w:right="-66"/>
                    <w:jc w:val="center"/>
                    <w:rPr>
                      <w:rFonts w:hint="default" w:ascii="Times New Roman" w:hAnsi="Times New Roman" w:cs="Times New Roman"/>
                      <w:bCs/>
                      <w:sz w:val="21"/>
                      <w:szCs w:val="21"/>
                    </w:rPr>
                  </w:pPr>
                  <w:r>
                    <w:rPr>
                      <w:rFonts w:hint="default" w:ascii="Times New Roman" w:hAnsi="Times New Roman" w:cs="Times New Roman"/>
                      <w:bCs/>
                      <w:sz w:val="21"/>
                      <w:szCs w:val="21"/>
                    </w:rPr>
                    <w:t>废水处理</w:t>
                  </w:r>
                </w:p>
              </w:tc>
              <w:tc>
                <w:tcPr>
                  <w:tcW w:w="103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油水混合物</w:t>
                  </w:r>
                </w:p>
              </w:tc>
              <w:tc>
                <w:tcPr>
                  <w:tcW w:w="2571" w:type="pct"/>
                  <w:vAlign w:val="center"/>
                </w:tcPr>
                <w:p>
                  <w:pPr>
                    <w:keepNext w:val="0"/>
                    <w:keepLines w:val="0"/>
                    <w:widowControl/>
                    <w:suppressLineNumbers w:val="0"/>
                    <w:spacing w:before="0" w:beforeAutospacing="0" w:after="0" w:afterAutospacing="0"/>
                    <w:ind w:left="-82" w:leftChars="-34" w:right="-94" w:rightChars="-39"/>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tabs>
                      <w:tab w:val="right" w:leader="dot" w:pos="9072"/>
                    </w:tabs>
                    <w:adjustRightInd w:val="0"/>
                    <w:spacing w:before="0" w:beforeAutospacing="0" w:after="0" w:afterAutospacing="0"/>
                    <w:ind w:left="-61" w:right="-66"/>
                    <w:jc w:val="center"/>
                    <w:rPr>
                      <w:rFonts w:hint="default" w:ascii="Times New Roman" w:hAnsi="Times New Roman" w:cs="Times New Roman"/>
                      <w:bCs/>
                      <w:sz w:val="21"/>
                      <w:szCs w:val="21"/>
                    </w:rPr>
                  </w:pPr>
                  <w:r>
                    <w:rPr>
                      <w:rFonts w:hint="default" w:ascii="Times New Roman" w:hAnsi="Times New Roman" w:cs="Times New Roman"/>
                      <w:bCs/>
                      <w:sz w:val="21"/>
                      <w:szCs w:val="21"/>
                    </w:rPr>
                    <w:t>导热油更换</w:t>
                  </w:r>
                </w:p>
              </w:tc>
              <w:tc>
                <w:tcPr>
                  <w:tcW w:w="103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废导热油</w:t>
                  </w:r>
                </w:p>
              </w:tc>
              <w:tc>
                <w:tcPr>
                  <w:tcW w:w="2571" w:type="pct"/>
                  <w:vAlign w:val="center"/>
                </w:tcPr>
                <w:p>
                  <w:pPr>
                    <w:keepNext w:val="0"/>
                    <w:keepLines w:val="0"/>
                    <w:widowControl/>
                    <w:suppressLineNumbers w:val="0"/>
                    <w:spacing w:before="0" w:beforeAutospacing="0" w:after="0" w:afterAutospacing="0"/>
                    <w:ind w:left="-82" w:leftChars="-34" w:right="-94" w:rightChars="-39"/>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tabs>
                      <w:tab w:val="right" w:leader="dot" w:pos="9072"/>
                    </w:tabs>
                    <w:adjustRightInd w:val="0"/>
                    <w:spacing w:before="0" w:beforeAutospacing="0" w:after="0" w:afterAutospacing="0"/>
                    <w:ind w:left="-61" w:right="-66"/>
                    <w:jc w:val="center"/>
                    <w:rPr>
                      <w:rFonts w:hint="default" w:ascii="Times New Roman" w:hAnsi="Times New Roman" w:cs="Times New Roman"/>
                      <w:bCs/>
                      <w:sz w:val="21"/>
                      <w:szCs w:val="21"/>
                    </w:rPr>
                  </w:pPr>
                  <w:r>
                    <w:rPr>
                      <w:rFonts w:hint="default" w:ascii="Times New Roman" w:hAnsi="Times New Roman" w:cs="Times New Roman"/>
                      <w:bCs/>
                      <w:sz w:val="21"/>
                      <w:szCs w:val="21"/>
                    </w:rPr>
                    <w:t>原辅料使用和包装</w:t>
                  </w:r>
                </w:p>
              </w:tc>
              <w:tc>
                <w:tcPr>
                  <w:tcW w:w="103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废包装材料</w:t>
                  </w:r>
                </w:p>
              </w:tc>
              <w:tc>
                <w:tcPr>
                  <w:tcW w:w="2571" w:type="pct"/>
                  <w:vAlign w:val="center"/>
                </w:tcPr>
                <w:p>
                  <w:pPr>
                    <w:keepNext w:val="0"/>
                    <w:keepLines w:val="0"/>
                    <w:widowControl/>
                    <w:suppressLineNumbers w:val="0"/>
                    <w:spacing w:before="0" w:beforeAutospacing="0" w:after="0" w:afterAutospacing="0"/>
                    <w:ind w:left="-82" w:leftChars="-34" w:right="-94" w:rightChars="-39"/>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出售给物资公司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tabs>
                      <w:tab w:val="right" w:leader="dot" w:pos="9072"/>
                    </w:tabs>
                    <w:adjustRightInd w:val="0"/>
                    <w:spacing w:before="0" w:beforeAutospacing="0" w:after="0" w:afterAutospacing="0"/>
                    <w:ind w:left="-61" w:right="-66"/>
                    <w:jc w:val="center"/>
                    <w:rPr>
                      <w:rFonts w:hint="default" w:ascii="Times New Roman" w:hAnsi="Times New Roman" w:cs="Times New Roman"/>
                      <w:bCs/>
                      <w:sz w:val="21"/>
                      <w:szCs w:val="21"/>
                    </w:rPr>
                  </w:pPr>
                  <w:r>
                    <w:rPr>
                      <w:rFonts w:hint="default" w:ascii="Times New Roman" w:hAnsi="Times New Roman" w:cs="Times New Roman"/>
                      <w:bCs/>
                      <w:sz w:val="21"/>
                      <w:szCs w:val="21"/>
                    </w:rPr>
                    <w:t>检验</w:t>
                  </w:r>
                </w:p>
              </w:tc>
              <w:tc>
                <w:tcPr>
                  <w:tcW w:w="103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不合格品</w:t>
                  </w:r>
                </w:p>
              </w:tc>
              <w:tc>
                <w:tcPr>
                  <w:tcW w:w="2571" w:type="pct"/>
                  <w:vAlign w:val="center"/>
                </w:tcPr>
                <w:p>
                  <w:pPr>
                    <w:keepNext w:val="0"/>
                    <w:keepLines w:val="0"/>
                    <w:widowControl/>
                    <w:suppressLineNumbers w:val="0"/>
                    <w:spacing w:before="0" w:beforeAutospacing="0" w:after="0" w:afterAutospacing="0"/>
                    <w:ind w:left="-82" w:leftChars="-34" w:right="-94" w:rightChars="-39"/>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出售给物资公司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1"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p>
              </w:tc>
              <w:tc>
                <w:tcPr>
                  <w:tcW w:w="808" w:type="pct"/>
                  <w:vAlign w:val="center"/>
                </w:tcPr>
                <w:p>
                  <w:pPr>
                    <w:keepNext w:val="0"/>
                    <w:keepLines w:val="0"/>
                    <w:suppressLineNumbers w:val="0"/>
                    <w:tabs>
                      <w:tab w:val="right" w:leader="dot" w:pos="9072"/>
                    </w:tabs>
                    <w:adjustRightInd w:val="0"/>
                    <w:spacing w:before="0" w:beforeAutospacing="0" w:after="0" w:afterAutospacing="0"/>
                    <w:ind w:left="-61" w:right="-66"/>
                    <w:jc w:val="center"/>
                    <w:rPr>
                      <w:rFonts w:hint="default" w:ascii="Times New Roman" w:hAnsi="Times New Roman" w:eastAsia="宋体" w:cs="Times New Roman"/>
                      <w:bCs/>
                      <w:sz w:val="21"/>
                      <w:szCs w:val="21"/>
                      <w:lang w:eastAsia="zh-CN"/>
                    </w:rPr>
                  </w:pPr>
                  <w:r>
                    <w:rPr>
                      <w:rFonts w:hint="default" w:ascii="Times New Roman" w:hAnsi="Times New Roman" w:cs="Times New Roman"/>
                      <w:bCs/>
                      <w:sz w:val="21"/>
                      <w:szCs w:val="21"/>
                      <w:lang w:eastAsia="zh-CN"/>
                    </w:rPr>
                    <w:t>办公生活</w:t>
                  </w:r>
                </w:p>
              </w:tc>
              <w:tc>
                <w:tcPr>
                  <w:tcW w:w="1038"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生活垃圾</w:t>
                  </w:r>
                </w:p>
              </w:tc>
              <w:tc>
                <w:tcPr>
                  <w:tcW w:w="2571"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环卫清运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81" w:type="pc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噪声</w:t>
                  </w:r>
                </w:p>
              </w:tc>
              <w:tc>
                <w:tcPr>
                  <w:tcW w:w="4418" w:type="pct"/>
                  <w:gridSpan w:val="3"/>
                  <w:vAlign w:val="center"/>
                </w:tcPr>
                <w:p>
                  <w:pPr>
                    <w:keepNext w:val="0"/>
                    <w:keepLines w:val="0"/>
                    <w:suppressLineNumbers w:val="0"/>
                    <w:adjustRightInd w:val="0"/>
                    <w:spacing w:before="0" w:beforeAutospacing="0" w:after="0" w:afterAutospacing="0" w:line="276" w:lineRule="auto"/>
                    <w:ind w:left="0" w:right="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a. 选用低噪声设备，合理布局车间、设备，较高噪声设备如空压机等设备安置在隔声厂房内，安装防震垫、消声器（罩）以及包扎消声材料等。</w:t>
                  </w:r>
                </w:p>
                <w:p>
                  <w:pPr>
                    <w:keepNext w:val="0"/>
                    <w:keepLines w:val="0"/>
                    <w:suppressLineNumbers w:val="0"/>
                    <w:adjustRightInd w:val="0"/>
                    <w:spacing w:before="0" w:beforeAutospacing="0" w:after="0" w:afterAutospacing="0" w:line="276" w:lineRule="auto"/>
                    <w:ind w:left="0" w:right="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b. 车间通风换气设备采用低噪声轴流风机，进出风管采用软连接。</w:t>
                  </w:r>
                </w:p>
                <w:p>
                  <w:pPr>
                    <w:keepNext w:val="0"/>
                    <w:keepLines w:val="0"/>
                    <w:suppressLineNumbers w:val="0"/>
                    <w:adjustRightInd w:val="0"/>
                    <w:spacing w:before="0" w:beforeAutospacing="0" w:after="0" w:afterAutospacing="0" w:line="276" w:lineRule="auto"/>
                    <w:ind w:left="0" w:right="0"/>
                    <w:jc w:val="left"/>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c. 冷却塔安装在厂界内并远离厂界，在冷却塔顶部的外沿安装排风消声器和隔声屏障，底部接水盘安装柔性网或消声垫，进出风口安装消声器。控制冷却塔震动，采用减震器和橡胶软接等减振设备。</w:t>
                  </w:r>
                </w:p>
                <w:p>
                  <w:pPr>
                    <w:keepNext w:val="0"/>
                    <w:keepLines w:val="0"/>
                    <w:numPr>
                      <w:ilvl w:val="0"/>
                      <w:numId w:val="0"/>
                    </w:numPr>
                    <w:suppressLineNumbers w:val="0"/>
                    <w:spacing w:before="0" w:beforeAutospacing="0" w:after="0" w:afterAutospacing="0"/>
                    <w:ind w:left="0" w:leftChars="0" w:right="0"/>
                    <w:jc w:val="left"/>
                    <w:rPr>
                      <w:rFonts w:hint="default" w:ascii="Times New Roman" w:hAnsi="Times New Roman" w:eastAsia="宋体" w:cs="Times New Roman"/>
                      <w:sz w:val="21"/>
                      <w:szCs w:val="21"/>
                      <w:lang w:eastAsia="zh-CN"/>
                    </w:rPr>
                  </w:pPr>
                  <w:r>
                    <w:rPr>
                      <w:rFonts w:hint="default" w:ascii="Times New Roman" w:hAnsi="Times New Roman" w:cs="Times New Roman"/>
                      <w:color w:val="000000"/>
                      <w:sz w:val="21"/>
                      <w:szCs w:val="21"/>
                    </w:rPr>
                    <w:t>d. 投入使用后应加强设备日常检修和维护，以保证各设备正常运转</w:t>
                  </w:r>
                  <w:r>
                    <w:rPr>
                      <w:rFonts w:hint="default" w:ascii="Times New Roman" w:hAnsi="Times New Roman" w:cs="Times New Roman"/>
                      <w:color w:val="000000"/>
                      <w:sz w:val="21"/>
                      <w:szCs w:val="21"/>
                      <w:lang w:eastAsia="zh-CN"/>
                    </w:rPr>
                    <w:t>。</w:t>
                  </w:r>
                </w:p>
              </w:tc>
            </w:tr>
          </w:tbl>
          <w:p>
            <w:pPr>
              <w:pStyle w:val="40"/>
              <w:keepNext w:val="0"/>
              <w:keepLines w:val="0"/>
              <w:pageBreakBefore w:val="0"/>
              <w:widowControl w:val="0"/>
              <w:suppressLineNumbers w:val="0"/>
              <w:kinsoku/>
              <w:wordWrap/>
              <w:overflowPunct/>
              <w:topLinePunct w:val="0"/>
              <w:autoSpaceDE/>
              <w:autoSpaceDN/>
              <w:bidi w:val="0"/>
              <w:adjustRightInd w:val="0"/>
              <w:snapToGrid w:val="0"/>
              <w:spacing w:before="164" w:beforeLines="50" w:beforeAutospacing="0" w:after="0" w:afterAutospacing="0" w:line="360" w:lineRule="auto"/>
              <w:ind w:right="0" w:firstLine="480" w:firstLineChars="200"/>
              <w:jc w:val="both"/>
              <w:textAlignment w:val="auto"/>
              <w:rPr>
                <w:rFonts w:hint="eastAsia" w:ascii="Times New Roman" w:hAnsi="Times New Roman" w:cs="Times New Roman"/>
                <w:color w:val="auto"/>
                <w:sz w:val="24"/>
                <w:lang w:val="en-US" w:eastAsia="zh-CN"/>
              </w:rPr>
            </w:pPr>
            <w:r>
              <w:rPr>
                <w:rFonts w:hint="eastAsia" w:ascii="Times New Roman" w:hAnsi="Times New Roman" w:cs="Times New Roman"/>
                <w:b w:val="0"/>
                <w:bCs/>
                <w:color w:val="auto"/>
                <w:sz w:val="24"/>
                <w:lang w:val="en-US" w:eastAsia="zh-CN"/>
              </w:rPr>
              <w:t>根据新厂区原环评审批情况，新厂区各污染物排放情况如下：</w:t>
            </w:r>
          </w:p>
          <w:p>
            <w:pPr>
              <w:pStyle w:val="38"/>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221"/>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表</w:t>
            </w:r>
            <w:r>
              <w:rPr>
                <w:rFonts w:hint="eastAsia" w:ascii="Times New Roman" w:hAnsi="Times New Roman" w:cs="Times New Roman"/>
                <w:b w:val="0"/>
                <w:bCs/>
                <w:sz w:val="24"/>
                <w:szCs w:val="24"/>
                <w:highlight w:val="none"/>
                <w:lang w:val="en-US" w:eastAsia="zh-CN"/>
              </w:rPr>
              <w:t>7</w:t>
            </w:r>
            <w:r>
              <w:rPr>
                <w:rFonts w:hint="default" w:ascii="Times New Roman" w:hAnsi="Times New Roman" w:cs="Times New Roman"/>
                <w:b w:val="0"/>
                <w:bCs/>
                <w:sz w:val="24"/>
                <w:szCs w:val="24"/>
                <w:highlight w:val="none"/>
                <w:lang w:val="en-US" w:eastAsia="zh-CN"/>
              </w:rPr>
              <w:t xml:space="preserve"> </w:t>
            </w:r>
            <w:r>
              <w:rPr>
                <w:rFonts w:hint="default" w:ascii="Times New Roman" w:hAnsi="Times New Roman" w:cs="Times New Roman"/>
                <w:b/>
                <w:bCs/>
                <w:color w:val="auto"/>
                <w:sz w:val="24"/>
                <w:szCs w:val="24"/>
                <w:lang w:val="en-US" w:eastAsia="zh-CN"/>
              </w:rPr>
              <w:t>新厂区</w:t>
            </w:r>
            <w:r>
              <w:rPr>
                <w:rFonts w:hint="eastAsia" w:ascii="Times New Roman" w:hAnsi="Times New Roman" w:cs="Times New Roman"/>
                <w:b/>
                <w:bCs/>
                <w:color w:val="auto"/>
                <w:sz w:val="24"/>
                <w:szCs w:val="24"/>
                <w:lang w:val="en-US" w:eastAsia="zh-CN"/>
              </w:rPr>
              <w:t>污染物排放量</w:t>
            </w:r>
            <w:r>
              <w:rPr>
                <w:rFonts w:hint="default" w:ascii="Times New Roman" w:hAnsi="Times New Roman" w:eastAsia="宋体" w:cs="Times New Roman"/>
                <w:b/>
                <w:bCs/>
                <w:color w:val="auto"/>
                <w:sz w:val="24"/>
                <w:szCs w:val="24"/>
                <w:lang w:val="en-US" w:eastAsia="zh-CN"/>
              </w:rPr>
              <w:t>一览表</w:t>
            </w:r>
          </w:p>
          <w:tbl>
            <w:tblPr>
              <w:tblStyle w:val="15"/>
              <w:tblW w:w="47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26"/>
              <w:gridCol w:w="3231"/>
              <w:gridCol w:w="23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8" w:hRule="atLeast"/>
                <w:tblHeader/>
                <w:jc w:val="center"/>
              </w:trPr>
              <w:tc>
                <w:tcPr>
                  <w:tcW w:w="12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类型</w:t>
                  </w:r>
                </w:p>
              </w:tc>
              <w:tc>
                <w:tcPr>
                  <w:tcW w:w="216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b/>
                      <w:kern w:val="0"/>
                      <w:sz w:val="21"/>
                      <w:szCs w:val="21"/>
                    </w:rPr>
                  </w:pPr>
                  <w:r>
                    <w:rPr>
                      <w:rFonts w:hint="default" w:ascii="Times New Roman" w:hAnsi="Times New Roman" w:cs="Times New Roman"/>
                      <w:b/>
                      <w:kern w:val="0"/>
                      <w:sz w:val="21"/>
                      <w:szCs w:val="21"/>
                    </w:rPr>
                    <w:t>指标</w:t>
                  </w:r>
                </w:p>
              </w:tc>
              <w:tc>
                <w:tcPr>
                  <w:tcW w:w="15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b/>
                      <w:kern w:val="0"/>
                      <w:sz w:val="21"/>
                      <w:szCs w:val="21"/>
                      <w:lang w:eastAsia="zh-CN"/>
                    </w:rPr>
                  </w:pPr>
                  <w:r>
                    <w:rPr>
                      <w:rFonts w:hint="default" w:ascii="Times New Roman" w:hAnsi="Times New Roman" w:cs="Times New Roman"/>
                      <w:b/>
                      <w:kern w:val="0"/>
                      <w:sz w:val="21"/>
                      <w:szCs w:val="21"/>
                      <w:lang w:eastAsia="zh-CN"/>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88" w:type="pct"/>
                  <w:vMerge w:val="restar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kern w:val="0"/>
                      <w:sz w:val="21"/>
                      <w:szCs w:val="21"/>
                    </w:rPr>
                  </w:pPr>
                  <w:r>
                    <w:rPr>
                      <w:rFonts w:hint="default" w:ascii="Times New Roman" w:hAnsi="Times New Roman" w:cs="Times New Roman"/>
                      <w:sz w:val="21"/>
                      <w:szCs w:val="21"/>
                    </w:rPr>
                    <w:t>废水</w:t>
                  </w:r>
                </w:p>
              </w:tc>
              <w:tc>
                <w:tcPr>
                  <w:tcW w:w="216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废水量</w:t>
                  </w:r>
                </w:p>
              </w:tc>
              <w:tc>
                <w:tcPr>
                  <w:tcW w:w="155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38586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288" w:type="pct"/>
                  <w:vMerge w:val="continue"/>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sz w:val="21"/>
                      <w:szCs w:val="21"/>
                    </w:rPr>
                  </w:pPr>
                </w:p>
              </w:tc>
              <w:tc>
                <w:tcPr>
                  <w:tcW w:w="2161"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COD</w:t>
                  </w:r>
                  <w:r>
                    <w:rPr>
                      <w:rFonts w:hint="default" w:ascii="Times New Roman" w:hAnsi="Times New Roman" w:cs="Times New Roman"/>
                      <w:sz w:val="21"/>
                      <w:szCs w:val="21"/>
                      <w:vertAlign w:val="subscript"/>
                    </w:rPr>
                    <w:t>Cr</w:t>
                  </w:r>
                </w:p>
              </w:tc>
              <w:tc>
                <w:tcPr>
                  <w:tcW w:w="155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1.</w:t>
                  </w:r>
                  <w:r>
                    <w:rPr>
                      <w:rFonts w:hint="default" w:ascii="Times New Roman" w:hAnsi="Times New Roman" w:cs="Times New Roman"/>
                      <w:sz w:val="21"/>
                      <w:szCs w:val="21"/>
                      <w:lang w:val="en-US" w:eastAsia="zh-CN"/>
                    </w:rPr>
                    <w:t>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1288" w:type="pct"/>
                  <w:vMerge w:val="continue"/>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sz w:val="21"/>
                      <w:szCs w:val="21"/>
                    </w:rPr>
                  </w:pPr>
                </w:p>
              </w:tc>
              <w:tc>
                <w:tcPr>
                  <w:tcW w:w="2161"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w:t>
                  </w:r>
                </w:p>
              </w:tc>
              <w:tc>
                <w:tcPr>
                  <w:tcW w:w="155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0.1</w:t>
                  </w:r>
                  <w:r>
                    <w:rPr>
                      <w:rFonts w:hint="default" w:ascii="Times New Roman" w:hAnsi="Times New Roman" w:cs="Times New Roman"/>
                      <w:sz w:val="21"/>
                      <w:szCs w:val="21"/>
                      <w:lang w:val="en-US" w:eastAsia="zh-CN"/>
                    </w:rPr>
                    <w:t>9</w:t>
                  </w:r>
                  <w:r>
                    <w:rPr>
                      <w:rFonts w:hint="default" w:ascii="Times New Roman" w:hAnsi="Times New Roman" w:cs="Times New Roman"/>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88" w:type="pct"/>
                  <w:vMerge w:val="restar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废气</w:t>
                  </w:r>
                </w:p>
              </w:tc>
              <w:tc>
                <w:tcPr>
                  <w:tcW w:w="216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HCl</w:t>
                  </w:r>
                </w:p>
              </w:tc>
              <w:tc>
                <w:tcPr>
                  <w:tcW w:w="155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highlight w:val="none"/>
                      <w:lang w:val="en-US" w:eastAsia="zh-CN"/>
                    </w:rPr>
                    <w:t>1.081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88" w:type="pct"/>
                  <w:vMerge w:val="continue"/>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sz w:val="21"/>
                      <w:szCs w:val="21"/>
                    </w:rPr>
                  </w:pPr>
                </w:p>
              </w:tc>
              <w:tc>
                <w:tcPr>
                  <w:tcW w:w="216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SO</w:t>
                  </w:r>
                  <w:r>
                    <w:rPr>
                      <w:rFonts w:hint="default" w:ascii="Times New Roman" w:hAnsi="Times New Roman" w:cs="Times New Roman"/>
                      <w:kern w:val="0"/>
                      <w:sz w:val="21"/>
                      <w:szCs w:val="21"/>
                      <w:vertAlign w:val="subscript"/>
                    </w:rPr>
                    <w:t>2</w:t>
                  </w:r>
                </w:p>
              </w:tc>
              <w:tc>
                <w:tcPr>
                  <w:tcW w:w="155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cs="Times New Roman"/>
                      <w:color w:val="000000"/>
                      <w:sz w:val="21"/>
                      <w:szCs w:val="21"/>
                    </w:rPr>
                    <w:t>1.</w:t>
                  </w:r>
                  <w:r>
                    <w:rPr>
                      <w:rFonts w:hint="default" w:ascii="Times New Roman" w:hAnsi="Times New Roman" w:cs="Times New Roman"/>
                      <w:color w:val="000000"/>
                      <w:sz w:val="21"/>
                      <w:szCs w:val="21"/>
                      <w:lang w:val="en-US" w:eastAsia="zh-CN"/>
                    </w:rPr>
                    <w:t>416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88" w:type="pct"/>
                  <w:vMerge w:val="continue"/>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sz w:val="21"/>
                      <w:szCs w:val="21"/>
                    </w:rPr>
                  </w:pPr>
                </w:p>
              </w:tc>
              <w:tc>
                <w:tcPr>
                  <w:tcW w:w="216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NO</w:t>
                  </w:r>
                  <w:r>
                    <w:rPr>
                      <w:rFonts w:hint="default" w:ascii="Times New Roman" w:hAnsi="Times New Roman" w:cs="Times New Roman"/>
                      <w:kern w:val="0"/>
                      <w:sz w:val="21"/>
                      <w:szCs w:val="21"/>
                      <w:vertAlign w:val="subscript"/>
                    </w:rPr>
                    <w:t>x</w:t>
                  </w:r>
                </w:p>
              </w:tc>
              <w:tc>
                <w:tcPr>
                  <w:tcW w:w="155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000000"/>
                      <w:kern w:val="2"/>
                      <w:sz w:val="21"/>
                      <w:szCs w:val="21"/>
                      <w:lang w:val="en-US" w:eastAsia="zh-CN" w:bidi="ar-SA"/>
                    </w:rPr>
                  </w:pPr>
                  <w:r>
                    <w:rPr>
                      <w:rFonts w:hint="default" w:ascii="Times New Roman" w:hAnsi="Times New Roman" w:cs="Times New Roman"/>
                      <w:b/>
                      <w:bCs/>
                      <w:color w:val="000000"/>
                      <w:sz w:val="21"/>
                      <w:szCs w:val="21"/>
                      <w:lang w:val="en-US" w:eastAsia="zh-CN"/>
                    </w:rPr>
                    <w:t>2.283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288" w:type="pct"/>
                  <w:vMerge w:val="continue"/>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sz w:val="21"/>
                      <w:szCs w:val="21"/>
                    </w:rPr>
                  </w:pPr>
                </w:p>
              </w:tc>
              <w:tc>
                <w:tcPr>
                  <w:tcW w:w="216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工业烟粉尘</w:t>
                  </w:r>
                </w:p>
              </w:tc>
              <w:tc>
                <w:tcPr>
                  <w:tcW w:w="155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9.375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288" w:type="pct"/>
                  <w:vMerge w:val="continue"/>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sz w:val="21"/>
                      <w:szCs w:val="21"/>
                    </w:rPr>
                  </w:pPr>
                </w:p>
              </w:tc>
              <w:tc>
                <w:tcPr>
                  <w:tcW w:w="216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VOCs</w:t>
                  </w:r>
                </w:p>
              </w:tc>
              <w:tc>
                <w:tcPr>
                  <w:tcW w:w="1550" w:type="pct"/>
                  <w:shd w:val="clear" w:color="auto" w:fill="auto"/>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28.403</w:t>
                  </w:r>
                </w:p>
              </w:tc>
            </w:tr>
          </w:tbl>
          <w:p>
            <w:pPr>
              <w:pStyle w:val="4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right="0"/>
              <w:jc w:val="both"/>
              <w:textAlignment w:val="auto"/>
              <w:rPr>
                <w:rFonts w:hint="default" w:ascii="Times New Roman" w:hAnsi="Times New Roman" w:cs="Times New Roman"/>
                <w:color w:val="auto"/>
                <w:sz w:val="24"/>
                <w:lang w:val="en-US" w:eastAsia="zh-CN"/>
              </w:rPr>
            </w:pPr>
          </w:p>
        </w:tc>
      </w:tr>
      <w:tr>
        <w:tblPrEx>
          <w:tblCellMar>
            <w:top w:w="0" w:type="dxa"/>
            <w:left w:w="0" w:type="dxa"/>
            <w:bottom w:w="0" w:type="dxa"/>
            <w:right w:w="0" w:type="dxa"/>
          </w:tblCellMar>
        </w:tblPrEx>
        <w:trPr>
          <w:trHeight w:val="948" w:hRule="atLeast"/>
          <w:jc w:val="center"/>
        </w:trPr>
        <w:tc>
          <w:tcPr>
            <w:tcW w:w="1718" w:type="dxa"/>
            <w:gridSpan w:val="2"/>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b/>
                <w:color w:val="auto"/>
                <w:highlight w:val="none"/>
              </w:rPr>
            </w:pPr>
            <w:r>
              <w:rPr>
                <w:rFonts w:hint="default" w:ascii="Times New Roman" w:hAnsi="Times New Roman" w:cs="Times New Roman"/>
                <w:b/>
                <w:color w:val="auto"/>
                <w:highlight w:val="none"/>
                <w:lang w:val="en-US" w:eastAsia="zh-CN"/>
              </w:rPr>
              <w:t>原</w:t>
            </w:r>
            <w:r>
              <w:rPr>
                <w:rFonts w:hint="default" w:ascii="Times New Roman" w:hAnsi="Times New Roman" w:cs="Times New Roman"/>
                <w:b/>
                <w:color w:val="auto"/>
                <w:highlight w:val="none"/>
              </w:rPr>
              <w:t>有项目采取的环保措施</w:t>
            </w:r>
          </w:p>
        </w:tc>
        <w:tc>
          <w:tcPr>
            <w:tcW w:w="7886" w:type="dxa"/>
            <w:gridSpan w:val="3"/>
            <w:tcBorders>
              <w:top w:val="single" w:color="000000" w:sz="6" w:space="0"/>
              <w:left w:val="single" w:color="000000" w:sz="6" w:space="0"/>
              <w:bottom w:val="single" w:color="000000" w:sz="6" w:space="0"/>
              <w:right w:val="single" w:color="000000" w:sz="6" w:space="0"/>
            </w:tcBorders>
            <w:shd w:val="clear" w:color="auto" w:fill="FFFFFF"/>
            <w:vAlign w:val="center"/>
          </w:tcPr>
          <w:p>
            <w:pPr>
              <w:pStyle w:val="38"/>
              <w:keepNext w:val="0"/>
              <w:keepLines w:val="0"/>
              <w:pageBreakBefore w:val="0"/>
              <w:widowControl w:val="0"/>
              <w:numPr>
                <w:ilvl w:val="0"/>
                <w:numId w:val="5"/>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60" w:firstLineChars="200"/>
              <w:jc w:val="both"/>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废水</w:t>
            </w:r>
          </w:p>
          <w:p>
            <w:pPr>
              <w:pStyle w:val="38"/>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right="0" w:rightChars="0" w:firstLine="460" w:firstLineChars="200"/>
              <w:jc w:val="both"/>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喷淋废水经沉淀预处理后和经化粪池预处理后的生活污水一并纳管排放，最终经丁桥污水处理厂集中处理达一级A标准后排入钱塘江。</w:t>
            </w:r>
          </w:p>
          <w:p>
            <w:pPr>
              <w:pStyle w:val="38"/>
              <w:keepNext w:val="0"/>
              <w:keepLines w:val="0"/>
              <w:pageBreakBefore w:val="0"/>
              <w:widowControl w:val="0"/>
              <w:numPr>
                <w:ilvl w:val="0"/>
                <w:numId w:val="5"/>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60" w:firstLineChars="200"/>
              <w:jc w:val="both"/>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废气</w:t>
            </w:r>
          </w:p>
          <w:p>
            <w:pPr>
              <w:pStyle w:val="38"/>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right="0" w:rightChars="0" w:firstLine="460" w:firstLineChars="200"/>
              <w:jc w:val="both"/>
              <w:textAlignment w:val="auto"/>
              <w:rPr>
                <w:rFonts w:hint="default" w:ascii="Times New Roman" w:hAnsi="Times New Roman" w:cs="Times New Roman"/>
                <w:lang w:val="en-US" w:eastAsia="zh-CN"/>
              </w:rPr>
            </w:pPr>
            <w:r>
              <w:rPr>
                <w:rFonts w:hint="default" w:ascii="Times New Roman" w:hAnsi="Times New Roman" w:cs="Times New Roman"/>
              </w:rPr>
              <w:t>投料粉尘</w:t>
            </w:r>
            <w:r>
              <w:rPr>
                <w:rFonts w:hint="default" w:ascii="Times New Roman" w:hAnsi="Times New Roman" w:cs="Times New Roman"/>
                <w:lang w:eastAsia="zh-CN"/>
              </w:rPr>
              <w:t>：</w:t>
            </w:r>
            <w:r>
              <w:rPr>
                <w:rFonts w:hint="default" w:ascii="Times New Roman" w:hAnsi="Times New Roman" w:cs="Times New Roman"/>
              </w:rPr>
              <w:t>经布袋除尘处理后高空排放</w:t>
            </w:r>
          </w:p>
          <w:p>
            <w:pPr>
              <w:pStyle w:val="38"/>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right="0" w:rightChars="0" w:firstLine="460" w:firstLineChars="200"/>
              <w:jc w:val="both"/>
              <w:textAlignment w:val="auto"/>
              <w:rPr>
                <w:rFonts w:hint="default" w:ascii="Times New Roman" w:hAnsi="Times New Roman" w:eastAsia="宋体" w:cs="Times New Roman"/>
                <w:lang w:val="en-US" w:eastAsia="zh-CN"/>
              </w:rPr>
            </w:pPr>
            <w:r>
              <w:rPr>
                <w:rFonts w:hint="default" w:ascii="Times New Roman" w:hAnsi="Times New Roman" w:cs="Times New Roman"/>
              </w:rPr>
              <w:t>压延</w:t>
            </w:r>
            <w:r>
              <w:rPr>
                <w:rFonts w:hint="default" w:ascii="Times New Roman" w:hAnsi="Times New Roman" w:cs="Times New Roman"/>
                <w:lang w:eastAsia="zh-CN"/>
              </w:rPr>
              <w:t>、贴合</w:t>
            </w:r>
            <w:r>
              <w:rPr>
                <w:rFonts w:hint="default" w:ascii="Times New Roman" w:hAnsi="Times New Roman" w:cs="Times New Roman"/>
              </w:rPr>
              <w:t>废气</w:t>
            </w:r>
            <w:r>
              <w:rPr>
                <w:rFonts w:hint="default" w:ascii="Times New Roman" w:hAnsi="Times New Roman" w:cs="Times New Roman"/>
                <w:lang w:eastAsia="zh-CN"/>
              </w:rPr>
              <w:t>：</w:t>
            </w:r>
            <w:r>
              <w:rPr>
                <w:rFonts w:hint="default" w:ascii="Times New Roman" w:hAnsi="Times New Roman" w:cs="Times New Roman"/>
                <w:lang w:val="en-US" w:eastAsia="zh-CN"/>
              </w:rPr>
              <w:t>PVC压延、贴合生产线废气</w:t>
            </w:r>
            <w:r>
              <w:rPr>
                <w:rFonts w:hint="default" w:ascii="Times New Roman" w:hAnsi="Times New Roman" w:cs="Times New Roman"/>
                <w:lang w:eastAsia="zh-CN"/>
              </w:rPr>
              <w:t>收集后</w:t>
            </w:r>
            <w:r>
              <w:rPr>
                <w:rFonts w:hint="default" w:ascii="Times New Roman" w:hAnsi="Times New Roman" w:cs="Times New Roman"/>
              </w:rPr>
              <w:t>经高压静电</w:t>
            </w:r>
            <w:r>
              <w:rPr>
                <w:rFonts w:hint="default" w:ascii="Times New Roman" w:hAnsi="Times New Roman" w:cs="Times New Roman"/>
                <w:lang w:val="en-US" w:eastAsia="zh-CN"/>
              </w:rPr>
              <w:t>+碱喷淋</w:t>
            </w:r>
            <w:r>
              <w:rPr>
                <w:rFonts w:hint="default" w:ascii="Times New Roman" w:hAnsi="Times New Roman" w:cs="Times New Roman"/>
              </w:rPr>
              <w:t>装置处理后高空排放</w:t>
            </w:r>
            <w:r>
              <w:rPr>
                <w:rFonts w:hint="default" w:ascii="Times New Roman" w:hAnsi="Times New Roman" w:cs="Times New Roman"/>
                <w:lang w:eastAsia="zh-CN"/>
              </w:rPr>
              <w:t>，</w:t>
            </w:r>
            <w:r>
              <w:rPr>
                <w:rFonts w:hint="default" w:ascii="Times New Roman" w:hAnsi="Times New Roman" w:cs="Times New Roman"/>
                <w:lang w:val="en-US" w:eastAsia="zh-CN"/>
              </w:rPr>
              <w:t>TPU压延、贴合生产线废气收集后经高压静电处理后高空排放。</w:t>
            </w:r>
          </w:p>
          <w:p>
            <w:pPr>
              <w:pStyle w:val="38"/>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right="0" w:rightChars="0" w:firstLine="460" w:firstLineChars="200"/>
              <w:jc w:val="both"/>
              <w:textAlignment w:val="auto"/>
              <w:rPr>
                <w:rFonts w:hint="default" w:ascii="Times New Roman" w:hAnsi="Times New Roman" w:cs="Times New Roman"/>
              </w:rPr>
            </w:pPr>
            <w:r>
              <w:rPr>
                <w:rFonts w:hint="default" w:ascii="Times New Roman" w:hAnsi="Times New Roman" w:cs="Times New Roman"/>
              </w:rPr>
              <w:t>表处废气</w:t>
            </w:r>
            <w:r>
              <w:rPr>
                <w:rFonts w:hint="default" w:ascii="Times New Roman" w:hAnsi="Times New Roman" w:cs="Times New Roman"/>
                <w:lang w:eastAsia="zh-CN"/>
              </w:rPr>
              <w:t>：</w:t>
            </w:r>
            <w:r>
              <w:rPr>
                <w:rFonts w:hint="default" w:ascii="Times New Roman" w:hAnsi="Times New Roman" w:cs="Times New Roman"/>
              </w:rPr>
              <w:t>经</w:t>
            </w:r>
            <w:r>
              <w:rPr>
                <w:rFonts w:hint="default" w:ascii="Times New Roman" w:hAnsi="Times New Roman" w:cs="Times New Roman"/>
                <w:lang w:val="en-US" w:eastAsia="zh-CN"/>
              </w:rPr>
              <w:t>RTO工艺</w:t>
            </w:r>
            <w:r>
              <w:rPr>
                <w:rFonts w:hint="default" w:ascii="Times New Roman" w:hAnsi="Times New Roman" w:cs="Times New Roman"/>
              </w:rPr>
              <w:t>处理后高空排放</w:t>
            </w:r>
          </w:p>
          <w:p>
            <w:pPr>
              <w:pStyle w:val="38"/>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right="0" w:rightChars="0" w:firstLine="460" w:firstLineChars="200"/>
              <w:jc w:val="both"/>
              <w:textAlignment w:val="auto"/>
              <w:rPr>
                <w:rFonts w:hint="default" w:ascii="Times New Roman" w:hAnsi="Times New Roman" w:cs="Times New Roman"/>
              </w:rPr>
            </w:pPr>
            <w:r>
              <w:rPr>
                <w:rFonts w:hint="default" w:ascii="Times New Roman" w:hAnsi="Times New Roman" w:cs="Times New Roman"/>
                <w:lang w:eastAsia="zh-CN"/>
              </w:rPr>
              <w:t>天然气</w:t>
            </w:r>
            <w:r>
              <w:rPr>
                <w:rFonts w:hint="default" w:ascii="Times New Roman" w:hAnsi="Times New Roman" w:cs="Times New Roman"/>
              </w:rPr>
              <w:t>燃烧废气</w:t>
            </w:r>
            <w:r>
              <w:rPr>
                <w:rFonts w:hint="default" w:ascii="Times New Roman" w:hAnsi="Times New Roman" w:cs="Times New Roman"/>
                <w:lang w:eastAsia="zh-CN"/>
              </w:rPr>
              <w:t>：锅炉安装低氮燃烧装置，烟气</w:t>
            </w:r>
            <w:r>
              <w:rPr>
                <w:rFonts w:hint="default" w:ascii="Times New Roman" w:hAnsi="Times New Roman" w:cs="Times New Roman"/>
              </w:rPr>
              <w:t>引风至1</w:t>
            </w:r>
            <w:r>
              <w:rPr>
                <w:rFonts w:hint="default" w:ascii="Times New Roman" w:hAnsi="Times New Roman" w:cs="Times New Roman"/>
                <w:lang w:val="en-US" w:eastAsia="zh-CN"/>
              </w:rPr>
              <w:t>5</w:t>
            </w:r>
            <w:r>
              <w:rPr>
                <w:rFonts w:hint="default" w:ascii="Times New Roman" w:hAnsi="Times New Roman" w:cs="Times New Roman"/>
              </w:rPr>
              <w:t>m</w:t>
            </w:r>
            <w:r>
              <w:rPr>
                <w:rFonts w:hint="default" w:ascii="Times New Roman" w:hAnsi="Times New Roman" w:cs="Times New Roman"/>
                <w:lang w:eastAsia="zh-CN"/>
              </w:rPr>
              <w:t>高</w:t>
            </w:r>
            <w:r>
              <w:rPr>
                <w:rFonts w:hint="default" w:ascii="Times New Roman" w:hAnsi="Times New Roman" w:cs="Times New Roman"/>
              </w:rPr>
              <w:t>排气筒排放</w:t>
            </w:r>
          </w:p>
          <w:p>
            <w:pPr>
              <w:pStyle w:val="38"/>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right="0" w:rightChars="0" w:firstLine="460" w:firstLineChars="200"/>
              <w:jc w:val="both"/>
              <w:textAlignment w:val="auto"/>
              <w:rPr>
                <w:rFonts w:hint="default" w:ascii="Times New Roman" w:hAnsi="Times New Roman" w:cs="Times New Roman"/>
              </w:rPr>
            </w:pPr>
            <w:r>
              <w:rPr>
                <w:rFonts w:hint="default" w:ascii="Times New Roman" w:hAnsi="Times New Roman" w:cs="Times New Roman"/>
                <w:lang w:eastAsia="zh-CN"/>
              </w:rPr>
              <w:t>食堂油烟：</w:t>
            </w:r>
            <w:r>
              <w:rPr>
                <w:rFonts w:hint="default" w:ascii="Times New Roman" w:hAnsi="Times New Roman" w:cs="Times New Roman"/>
              </w:rPr>
              <w:t>收集后经油烟净化器处理后经屋顶高空排放</w:t>
            </w:r>
          </w:p>
          <w:p>
            <w:pPr>
              <w:pStyle w:val="38"/>
              <w:keepNext w:val="0"/>
              <w:keepLines w:val="0"/>
              <w:pageBreakBefore w:val="0"/>
              <w:widowControl w:val="0"/>
              <w:numPr>
                <w:ilvl w:val="0"/>
                <w:numId w:val="5"/>
              </w:numPr>
              <w:suppressLineNumbers w:val="0"/>
              <w:kinsoku/>
              <w:wordWrap/>
              <w:overflowPunct/>
              <w:topLinePunct w:val="0"/>
              <w:autoSpaceDE w:val="0"/>
              <w:autoSpaceDN w:val="0"/>
              <w:bidi w:val="0"/>
              <w:adjustRightInd w:val="0"/>
              <w:snapToGrid/>
              <w:spacing w:before="0" w:beforeAutospacing="0" w:after="0" w:afterAutospacing="0" w:line="360" w:lineRule="auto"/>
              <w:ind w:left="0" w:leftChars="0" w:right="0" w:rightChars="0" w:firstLine="460" w:firstLineChars="200"/>
              <w:jc w:val="both"/>
              <w:textAlignment w:val="auto"/>
              <w:rPr>
                <w:rFonts w:hint="default" w:ascii="Times New Roman" w:hAnsi="Times New Roman" w:cs="Times New Roman"/>
                <w:lang w:eastAsia="zh-CN"/>
              </w:rPr>
            </w:pPr>
            <w:r>
              <w:rPr>
                <w:rFonts w:hint="default" w:ascii="Times New Roman" w:hAnsi="Times New Roman" w:cs="Times New Roman"/>
                <w:lang w:eastAsia="zh-CN"/>
              </w:rPr>
              <w:t>噪声</w:t>
            </w:r>
          </w:p>
          <w:p>
            <w:pPr>
              <w:pStyle w:val="38"/>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Chars="0" w:right="0" w:rightChars="0" w:firstLine="460" w:firstLineChars="200"/>
              <w:jc w:val="both"/>
              <w:textAlignment w:val="auto"/>
              <w:rPr>
                <w:rFonts w:hint="default" w:ascii="Times New Roman" w:hAnsi="Times New Roman" w:cs="Times New Roman"/>
                <w:lang w:eastAsia="zh-CN"/>
              </w:rPr>
            </w:pPr>
            <w:r>
              <w:rPr>
                <w:rFonts w:hint="default" w:ascii="Times New Roman" w:hAnsi="Times New Roman" w:cs="Times New Roman"/>
                <w:lang w:val="en-US" w:eastAsia="zh-CN"/>
              </w:rPr>
              <w:t>采用低噪声类型设备，</w:t>
            </w:r>
            <w:r>
              <w:rPr>
                <w:rFonts w:hint="default" w:ascii="Times New Roman" w:hAnsi="Times New Roman" w:cs="Times New Roman"/>
              </w:rPr>
              <w:t>生产时关闭门窗，此外，针对风机等高噪声设备采取了相应的消声和隔声措施</w:t>
            </w:r>
            <w:r>
              <w:rPr>
                <w:rFonts w:hint="default" w:ascii="Times New Roman" w:hAnsi="Times New Roman" w:cs="Times New Roman"/>
                <w:lang w:eastAsia="zh-CN"/>
              </w:rPr>
              <w:t>，并进行定期维护，避免运行异常。</w:t>
            </w:r>
          </w:p>
          <w:p>
            <w:pPr>
              <w:pStyle w:val="38"/>
              <w:keepNext w:val="0"/>
              <w:keepLines w:val="0"/>
              <w:pageBreakBefore w:val="0"/>
              <w:widowControl w:val="0"/>
              <w:numPr>
                <w:ilvl w:val="0"/>
                <w:numId w:val="5"/>
              </w:numPr>
              <w:suppressLineNumbers w:val="0"/>
              <w:kinsoku/>
              <w:wordWrap/>
              <w:overflowPunct/>
              <w:topLinePunct w:val="0"/>
              <w:autoSpaceDE w:val="0"/>
              <w:autoSpaceDN w:val="0"/>
              <w:bidi w:val="0"/>
              <w:adjustRightInd w:val="0"/>
              <w:snapToGrid/>
              <w:spacing w:before="0" w:beforeAutospacing="0" w:after="0" w:afterAutospacing="0" w:line="360" w:lineRule="auto"/>
              <w:ind w:left="0" w:leftChars="0" w:right="0" w:rightChars="0" w:firstLine="460" w:firstLineChars="200"/>
              <w:jc w:val="both"/>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固废</w:t>
            </w:r>
          </w:p>
          <w:p>
            <w:pPr>
              <w:pStyle w:val="38"/>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Chars="0" w:right="0" w:rightChars="0" w:firstLine="460" w:firstLineChars="200"/>
              <w:jc w:val="both"/>
              <w:textAlignment w:val="auto"/>
              <w:rPr>
                <w:rFonts w:hint="default" w:ascii="Times New Roman" w:hAnsi="Times New Roman" w:cs="Times New Roman"/>
              </w:rPr>
            </w:pPr>
            <w:r>
              <w:rPr>
                <w:rFonts w:hint="default" w:ascii="Times New Roman" w:hAnsi="Times New Roman" w:cs="Times New Roman"/>
                <w:lang w:val="en-US" w:eastAsia="zh-CN"/>
              </w:rPr>
              <w:t>固废已实行分类收集和处置，一般固废视其性质采取资源化等方式处理，危险废物委托处置，生活垃圾由环卫部门清运。</w:t>
            </w:r>
          </w:p>
        </w:tc>
      </w:tr>
      <w:tr>
        <w:tblPrEx>
          <w:tblCellMar>
            <w:top w:w="0" w:type="dxa"/>
            <w:left w:w="0" w:type="dxa"/>
            <w:bottom w:w="0" w:type="dxa"/>
            <w:right w:w="0" w:type="dxa"/>
          </w:tblCellMar>
        </w:tblPrEx>
        <w:trPr>
          <w:trHeight w:val="3151" w:hRule="atLeast"/>
          <w:jc w:val="center"/>
        </w:trPr>
        <w:tc>
          <w:tcPr>
            <w:tcW w:w="1718" w:type="dxa"/>
            <w:gridSpan w:val="2"/>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b/>
                <w:color w:val="auto"/>
                <w:highlight w:val="none"/>
                <w:lang w:val="en-US" w:eastAsia="zh-CN"/>
              </w:rPr>
            </w:pPr>
            <w:r>
              <w:rPr>
                <w:rFonts w:hint="default" w:ascii="Times New Roman" w:hAnsi="Times New Roman" w:cs="Times New Roman"/>
                <w:b/>
                <w:bCs/>
                <w:color w:val="auto"/>
                <w:highlight w:val="none"/>
                <w:lang w:eastAsia="zh-CN"/>
              </w:rPr>
              <w:t>原有项目污染物排放量汇总</w:t>
            </w:r>
          </w:p>
        </w:tc>
        <w:tc>
          <w:tcPr>
            <w:tcW w:w="7886" w:type="dxa"/>
            <w:gridSpan w:val="3"/>
            <w:tcBorders>
              <w:top w:val="single" w:color="000000" w:sz="6" w:space="0"/>
              <w:left w:val="single" w:color="000000" w:sz="6" w:space="0"/>
              <w:bottom w:val="single" w:color="000000" w:sz="6" w:space="0"/>
              <w:right w:val="single" w:color="000000" w:sz="6" w:space="0"/>
            </w:tcBorders>
            <w:shd w:val="clear" w:color="auto" w:fill="FFFFFF"/>
            <w:vAlign w:val="center"/>
          </w:tcPr>
          <w:p>
            <w:pPr>
              <w:pStyle w:val="3"/>
              <w:keepNext w:val="0"/>
              <w:keepLines w:val="0"/>
              <w:pageBreakBefore w:val="0"/>
              <w:widowControl w:val="0"/>
              <w:numPr>
                <w:ilvl w:val="0"/>
                <w:numId w:val="0"/>
              </w:numPr>
              <w:shd w:val="clear"/>
              <w:kinsoku/>
              <w:wordWrap w:val="0"/>
              <w:overflowPunct/>
              <w:topLinePunct w:val="0"/>
              <w:autoSpaceDE/>
              <w:autoSpaceDN/>
              <w:bidi w:val="0"/>
              <w:adjustRightInd/>
              <w:snapToGrid/>
              <w:spacing w:before="0" w:after="0" w:line="360" w:lineRule="auto"/>
              <w:ind w:leftChars="0" w:firstLine="480" w:firstLineChars="200"/>
              <w:textAlignment w:val="auto"/>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lang w:val="en-US" w:eastAsia="zh-CN"/>
              </w:rPr>
              <w:t>根据调查，原审批项目主要污染物实际排放量及</w:t>
            </w:r>
            <w:r>
              <w:rPr>
                <w:rFonts w:hint="default" w:ascii="Times New Roman" w:hAnsi="Times New Roman" w:cs="Times New Roman"/>
                <w:b w:val="0"/>
                <w:bCs w:val="0"/>
                <w:color w:val="000000"/>
                <w:sz w:val="24"/>
                <w:szCs w:val="24"/>
                <w:lang w:val="en-US" w:eastAsia="zh-CN"/>
              </w:rPr>
              <w:t>总量控制符合性</w:t>
            </w:r>
            <w:r>
              <w:rPr>
                <w:rFonts w:hint="default" w:ascii="Times New Roman" w:hAnsi="Times New Roman" w:cs="Times New Roman"/>
                <w:b w:val="0"/>
                <w:bCs w:val="0"/>
                <w:sz w:val="24"/>
                <w:szCs w:val="24"/>
                <w:lang w:val="en-US" w:eastAsia="zh-CN"/>
              </w:rPr>
              <w:t>汇总如下：</w:t>
            </w:r>
          </w:p>
          <w:p>
            <w:pPr>
              <w:pStyle w:val="4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ascii="Times New Roman" w:hAnsi="Times New Roman" w:eastAsia="宋体" w:cs="Times New Roman"/>
                <w:b/>
                <w:bCs w:val="0"/>
                <w:color w:val="auto"/>
                <w:sz w:val="24"/>
                <w:lang w:val="en-US" w:eastAsia="zh-CN"/>
              </w:rPr>
            </w:pPr>
            <w:r>
              <w:rPr>
                <w:rFonts w:hint="default" w:ascii="Times New Roman" w:hAnsi="Times New Roman" w:eastAsia="宋体" w:cs="Times New Roman"/>
                <w:b/>
                <w:bCs w:val="0"/>
                <w:color w:val="auto"/>
                <w:sz w:val="24"/>
              </w:rPr>
              <w:t>表</w:t>
            </w:r>
            <w:r>
              <w:rPr>
                <w:rFonts w:hint="eastAsia" w:ascii="Times New Roman" w:hAnsi="Times New Roman" w:cs="Times New Roman"/>
                <w:b/>
                <w:bCs w:val="0"/>
                <w:sz w:val="24"/>
                <w:szCs w:val="24"/>
                <w:highlight w:val="none"/>
                <w:lang w:val="en-US" w:eastAsia="zh-CN"/>
              </w:rPr>
              <w:t>8</w:t>
            </w:r>
            <w:r>
              <w:rPr>
                <w:rFonts w:hint="default" w:ascii="Times New Roman" w:hAnsi="Times New Roman" w:eastAsia="宋体" w:cs="Times New Roman"/>
                <w:b/>
                <w:bCs w:val="0"/>
                <w:color w:val="auto"/>
                <w:sz w:val="24"/>
              </w:rPr>
              <w:t xml:space="preserve"> 现有项目</w:t>
            </w:r>
            <w:r>
              <w:rPr>
                <w:rFonts w:hint="default" w:ascii="Times New Roman" w:hAnsi="Times New Roman" w:eastAsia="宋体" w:cs="Times New Roman"/>
                <w:b/>
                <w:bCs w:val="0"/>
                <w:color w:val="auto"/>
                <w:sz w:val="24"/>
                <w:lang w:eastAsia="zh-CN"/>
              </w:rPr>
              <w:t>总量控制符合性</w:t>
            </w:r>
            <w:r>
              <w:rPr>
                <w:rFonts w:hint="default" w:ascii="Times New Roman" w:hAnsi="Times New Roman" w:eastAsia="宋体" w:cs="Times New Roman"/>
                <w:b/>
                <w:bCs w:val="0"/>
                <w:color w:val="auto"/>
                <w:sz w:val="24"/>
                <w:lang w:val="en-US" w:eastAsia="zh-CN"/>
              </w:rPr>
              <w:t xml:space="preserve"> （单位：t/a）</w:t>
            </w:r>
          </w:p>
          <w:tbl>
            <w:tblPr>
              <w:tblStyle w:val="15"/>
              <w:tblW w:w="49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33"/>
              <w:gridCol w:w="2020"/>
              <w:gridCol w:w="2513"/>
              <w:gridCol w:w="2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 w:hRule="atLeast"/>
                <w:tblHeader/>
                <w:jc w:val="center"/>
              </w:trPr>
              <w:tc>
                <w:tcPr>
                  <w:tcW w:w="665" w:type="pct"/>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val="0"/>
                      <w:bCs/>
                      <w:color w:val="auto"/>
                      <w:kern w:val="0"/>
                      <w:szCs w:val="21"/>
                    </w:rPr>
                  </w:pPr>
                  <w:r>
                    <w:rPr>
                      <w:rFonts w:hint="default" w:ascii="Times New Roman" w:hAnsi="Times New Roman" w:cs="Times New Roman"/>
                      <w:b w:val="0"/>
                      <w:bCs/>
                      <w:color w:val="auto"/>
                      <w:kern w:val="0"/>
                      <w:szCs w:val="21"/>
                    </w:rPr>
                    <w:t>类型</w:t>
                  </w:r>
                </w:p>
              </w:tc>
              <w:tc>
                <w:tcPr>
                  <w:tcW w:w="1301" w:type="pct"/>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val="0"/>
                      <w:bCs/>
                      <w:color w:val="auto"/>
                      <w:kern w:val="0"/>
                      <w:szCs w:val="21"/>
                    </w:rPr>
                  </w:pPr>
                  <w:r>
                    <w:rPr>
                      <w:rFonts w:hint="default" w:ascii="Times New Roman" w:hAnsi="Times New Roman" w:cs="Times New Roman"/>
                      <w:b w:val="0"/>
                      <w:bCs/>
                      <w:color w:val="auto"/>
                      <w:kern w:val="0"/>
                      <w:szCs w:val="21"/>
                    </w:rPr>
                    <w:t>指标</w:t>
                  </w:r>
                </w:p>
              </w:tc>
              <w:tc>
                <w:tcPr>
                  <w:tcW w:w="1619"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val="0"/>
                      <w:bCs/>
                      <w:color w:val="auto"/>
                      <w:kern w:val="0"/>
                      <w:szCs w:val="21"/>
                    </w:rPr>
                  </w:pPr>
                  <w:r>
                    <w:rPr>
                      <w:rFonts w:hint="default" w:ascii="Times New Roman" w:hAnsi="Times New Roman" w:cs="Times New Roman"/>
                      <w:b w:val="0"/>
                      <w:bCs/>
                      <w:color w:val="auto"/>
                      <w:kern w:val="0"/>
                      <w:szCs w:val="21"/>
                      <w:lang w:eastAsia="zh-CN"/>
                    </w:rPr>
                    <w:t>现有项目</w:t>
                  </w:r>
                  <w:r>
                    <w:rPr>
                      <w:rFonts w:hint="default" w:ascii="Times New Roman" w:hAnsi="Times New Roman" w:cs="Times New Roman"/>
                      <w:b w:val="0"/>
                      <w:bCs/>
                      <w:color w:val="auto"/>
                      <w:kern w:val="0"/>
                      <w:szCs w:val="21"/>
                    </w:rPr>
                    <w:t>排放量</w:t>
                  </w:r>
                </w:p>
              </w:tc>
              <w:tc>
                <w:tcPr>
                  <w:tcW w:w="1412" w:type="pc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color w:val="auto"/>
                      <w:kern w:val="0"/>
                      <w:szCs w:val="21"/>
                      <w:lang w:eastAsia="zh-CN"/>
                    </w:rPr>
                  </w:pPr>
                  <w:r>
                    <w:rPr>
                      <w:rFonts w:hint="default" w:ascii="Times New Roman" w:hAnsi="Times New Roman" w:cs="Times New Roman"/>
                      <w:b w:val="0"/>
                      <w:bCs/>
                      <w:color w:val="auto"/>
                      <w:kern w:val="0"/>
                      <w:szCs w:val="21"/>
                      <w:lang w:eastAsia="zh-CN"/>
                    </w:rPr>
                    <w:t>总量控制指标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pct"/>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kern w:val="0"/>
                      <w:szCs w:val="21"/>
                    </w:rPr>
                  </w:pPr>
                  <w:r>
                    <w:rPr>
                      <w:rFonts w:hint="default" w:ascii="Times New Roman" w:hAnsi="Times New Roman" w:cs="Times New Roman"/>
                      <w:b w:val="0"/>
                      <w:bCs/>
                      <w:color w:val="auto"/>
                      <w:szCs w:val="21"/>
                    </w:rPr>
                    <w:t>废水</w:t>
                  </w:r>
                </w:p>
              </w:tc>
              <w:tc>
                <w:tcPr>
                  <w:tcW w:w="1301" w:type="pct"/>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val="0"/>
                      <w:bCs/>
                      <w:color w:val="auto"/>
                      <w:kern w:val="0"/>
                      <w:szCs w:val="21"/>
                    </w:rPr>
                  </w:pPr>
                  <w:r>
                    <w:rPr>
                      <w:rFonts w:hint="default" w:ascii="Times New Roman" w:hAnsi="Times New Roman" w:cs="Times New Roman"/>
                      <w:b w:val="0"/>
                      <w:bCs/>
                      <w:color w:val="auto"/>
                      <w:kern w:val="0"/>
                      <w:szCs w:val="21"/>
                    </w:rPr>
                    <w:t>废水量</w:t>
                  </w:r>
                </w:p>
              </w:tc>
              <w:tc>
                <w:tcPr>
                  <w:tcW w:w="1619"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000000"/>
                      <w:sz w:val="24"/>
                      <w:szCs w:val="21"/>
                      <w:lang w:val="en-US" w:eastAsia="zh-CN" w:bidi="ar-SA"/>
                    </w:rPr>
                  </w:pPr>
                  <w:r>
                    <w:rPr>
                      <w:rFonts w:hint="default" w:ascii="Times New Roman" w:hAnsi="Times New Roman" w:cs="Times New Roman"/>
                      <w:b w:val="0"/>
                      <w:bCs/>
                      <w:szCs w:val="21"/>
                      <w:lang w:val="en-US" w:eastAsia="zh-CN"/>
                    </w:rPr>
                    <w:t>62086</w:t>
                  </w:r>
                </w:p>
              </w:tc>
              <w:tc>
                <w:tcPr>
                  <w:tcW w:w="141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63286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Cs w:val="21"/>
                    </w:rPr>
                  </w:pPr>
                </w:p>
              </w:tc>
              <w:tc>
                <w:tcPr>
                  <w:tcW w:w="1301"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COD</w:t>
                  </w:r>
                  <w:r>
                    <w:rPr>
                      <w:rFonts w:hint="default" w:ascii="Times New Roman" w:hAnsi="Times New Roman" w:cs="Times New Roman"/>
                      <w:b w:val="0"/>
                      <w:bCs/>
                      <w:color w:val="auto"/>
                      <w:szCs w:val="21"/>
                      <w:vertAlign w:val="subscript"/>
                    </w:rPr>
                    <w:t>Cr</w:t>
                  </w:r>
                </w:p>
              </w:tc>
              <w:tc>
                <w:tcPr>
                  <w:tcW w:w="1619"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000000"/>
                      <w:sz w:val="24"/>
                      <w:szCs w:val="21"/>
                      <w:lang w:val="en-US" w:eastAsia="zh-CN" w:bidi="ar-SA"/>
                    </w:rPr>
                  </w:pPr>
                  <w:r>
                    <w:rPr>
                      <w:rFonts w:hint="default" w:ascii="Times New Roman" w:hAnsi="Times New Roman" w:cs="Times New Roman"/>
                      <w:b w:val="0"/>
                      <w:bCs/>
                      <w:szCs w:val="21"/>
                      <w:lang w:val="en-US" w:eastAsia="zh-CN"/>
                    </w:rPr>
                    <w:t>3.104</w:t>
                  </w:r>
                </w:p>
              </w:tc>
              <w:tc>
                <w:tcPr>
                  <w:tcW w:w="141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3.164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Cs w:val="21"/>
                    </w:rPr>
                  </w:pPr>
                </w:p>
              </w:tc>
              <w:tc>
                <w:tcPr>
                  <w:tcW w:w="1301" w:type="pc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NH</w:t>
                  </w:r>
                  <w:r>
                    <w:rPr>
                      <w:rFonts w:hint="default" w:ascii="Times New Roman" w:hAnsi="Times New Roman" w:cs="Times New Roman"/>
                      <w:b w:val="0"/>
                      <w:bCs/>
                      <w:color w:val="auto"/>
                      <w:szCs w:val="21"/>
                      <w:vertAlign w:val="subscript"/>
                    </w:rPr>
                    <w:t>3</w:t>
                  </w:r>
                  <w:r>
                    <w:rPr>
                      <w:rFonts w:hint="default" w:ascii="Times New Roman" w:hAnsi="Times New Roman" w:cs="Times New Roman"/>
                      <w:b w:val="0"/>
                      <w:bCs/>
                      <w:color w:val="auto"/>
                      <w:szCs w:val="21"/>
                    </w:rPr>
                    <w:t>-N</w:t>
                  </w:r>
                </w:p>
              </w:tc>
              <w:tc>
                <w:tcPr>
                  <w:tcW w:w="1619"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000000"/>
                      <w:sz w:val="24"/>
                      <w:szCs w:val="21"/>
                      <w:lang w:val="en-US" w:eastAsia="zh-CN" w:bidi="ar-SA"/>
                    </w:rPr>
                  </w:pPr>
                  <w:r>
                    <w:rPr>
                      <w:rFonts w:hint="default" w:ascii="Times New Roman" w:hAnsi="Times New Roman" w:cs="Times New Roman"/>
                      <w:b w:val="0"/>
                      <w:bCs/>
                      <w:szCs w:val="21"/>
                    </w:rPr>
                    <w:t>0.</w:t>
                  </w:r>
                  <w:r>
                    <w:rPr>
                      <w:rFonts w:hint="default" w:ascii="Times New Roman" w:hAnsi="Times New Roman" w:cs="Times New Roman"/>
                      <w:b w:val="0"/>
                      <w:bCs/>
                      <w:szCs w:val="21"/>
                      <w:lang w:val="en-US" w:eastAsia="zh-CN"/>
                    </w:rPr>
                    <w:t>310</w:t>
                  </w:r>
                </w:p>
              </w:tc>
              <w:tc>
                <w:tcPr>
                  <w:tcW w:w="141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rPr>
                    <w:t>0.</w:t>
                  </w:r>
                  <w:r>
                    <w:rPr>
                      <w:rFonts w:hint="default" w:ascii="Times New Roman" w:hAnsi="Times New Roman" w:cs="Times New Roman"/>
                      <w:b w:val="0"/>
                      <w:bCs/>
                      <w:color w:val="auto"/>
                      <w:szCs w:val="21"/>
                      <w:lang w:val="en-US" w:eastAsia="zh-CN"/>
                    </w:rPr>
                    <w:t>316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pct"/>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Cs w:val="21"/>
                    </w:rPr>
                  </w:pPr>
                  <w:r>
                    <w:rPr>
                      <w:rFonts w:hint="default" w:ascii="Times New Roman" w:hAnsi="Times New Roman" w:cs="Times New Roman"/>
                      <w:b w:val="0"/>
                      <w:bCs/>
                      <w:color w:val="auto"/>
                      <w:szCs w:val="21"/>
                    </w:rPr>
                    <w:t>废气</w:t>
                  </w:r>
                </w:p>
              </w:tc>
              <w:tc>
                <w:tcPr>
                  <w:tcW w:w="1301" w:type="pct"/>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cs="Times New Roman"/>
                      <w:b w:val="0"/>
                      <w:bCs/>
                      <w:color w:val="auto"/>
                      <w:kern w:val="0"/>
                      <w:szCs w:val="21"/>
                    </w:rPr>
                    <w:t>SO</w:t>
                  </w:r>
                  <w:r>
                    <w:rPr>
                      <w:rFonts w:hint="default" w:ascii="Times New Roman" w:hAnsi="Times New Roman" w:cs="Times New Roman"/>
                      <w:b w:val="0"/>
                      <w:bCs/>
                      <w:color w:val="auto"/>
                      <w:kern w:val="0"/>
                      <w:szCs w:val="21"/>
                      <w:vertAlign w:val="subscript"/>
                    </w:rPr>
                    <w:t>2</w:t>
                  </w:r>
                </w:p>
              </w:tc>
              <w:tc>
                <w:tcPr>
                  <w:tcW w:w="1619"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000000"/>
                      <w:sz w:val="24"/>
                      <w:szCs w:val="21"/>
                      <w:lang w:val="en-US" w:eastAsia="zh-CN" w:bidi="ar-SA"/>
                    </w:rPr>
                  </w:pPr>
                  <w:r>
                    <w:rPr>
                      <w:rFonts w:hint="default" w:ascii="Times New Roman" w:hAnsi="Times New Roman" w:cs="Times New Roman"/>
                      <w:b w:val="0"/>
                      <w:bCs/>
                      <w:color w:val="000000"/>
                      <w:sz w:val="24"/>
                      <w:szCs w:val="21"/>
                      <w:lang w:val="en-US" w:eastAsia="zh-CN" w:bidi="ar-SA"/>
                    </w:rPr>
                    <w:t>1.776</w:t>
                  </w:r>
                </w:p>
              </w:tc>
              <w:tc>
                <w:tcPr>
                  <w:tcW w:w="141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2.48</w:t>
                  </w:r>
                  <w:r>
                    <w:rPr>
                      <w:rFonts w:hint="default" w:ascii="Times New Roman" w:hAnsi="Times New Roman" w:cs="Times New Roman"/>
                      <w:b w:val="0"/>
                      <w:bCs/>
                      <w:color w:val="auto"/>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Cs w:val="21"/>
                    </w:rPr>
                  </w:pPr>
                </w:p>
              </w:tc>
              <w:tc>
                <w:tcPr>
                  <w:tcW w:w="1301" w:type="pct"/>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cs="Times New Roman"/>
                      <w:b w:val="0"/>
                      <w:bCs/>
                      <w:color w:val="auto"/>
                      <w:kern w:val="0"/>
                      <w:szCs w:val="21"/>
                    </w:rPr>
                    <w:t>NO</w:t>
                  </w:r>
                  <w:r>
                    <w:rPr>
                      <w:rFonts w:hint="default" w:ascii="Times New Roman" w:hAnsi="Times New Roman" w:cs="Times New Roman"/>
                      <w:b w:val="0"/>
                      <w:bCs/>
                      <w:color w:val="auto"/>
                      <w:kern w:val="0"/>
                      <w:szCs w:val="21"/>
                      <w:vertAlign w:val="subscript"/>
                    </w:rPr>
                    <w:t>x</w:t>
                  </w:r>
                </w:p>
              </w:tc>
              <w:tc>
                <w:tcPr>
                  <w:tcW w:w="1619"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000000"/>
                      <w:sz w:val="24"/>
                      <w:szCs w:val="21"/>
                      <w:lang w:val="en-US" w:eastAsia="zh-CN" w:bidi="ar-SA"/>
                    </w:rPr>
                  </w:pPr>
                  <w:r>
                    <w:rPr>
                      <w:rFonts w:hint="default" w:ascii="Times New Roman" w:hAnsi="Times New Roman" w:cs="Times New Roman"/>
                      <w:b w:val="0"/>
                      <w:bCs/>
                      <w:color w:val="000000"/>
                      <w:sz w:val="24"/>
                      <w:szCs w:val="21"/>
                      <w:lang w:val="en-US" w:eastAsia="zh-CN" w:bidi="ar-SA"/>
                    </w:rPr>
                    <w:t>6.723</w:t>
                  </w:r>
                </w:p>
              </w:tc>
              <w:tc>
                <w:tcPr>
                  <w:tcW w:w="141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13.373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65"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Cs w:val="21"/>
                    </w:rPr>
                  </w:pPr>
                </w:p>
              </w:tc>
              <w:tc>
                <w:tcPr>
                  <w:tcW w:w="1301" w:type="pct"/>
                  <w:shd w:val="clear" w:color="auto" w:fill="auto"/>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color w:val="auto"/>
                      <w:kern w:val="0"/>
                      <w:sz w:val="21"/>
                      <w:szCs w:val="21"/>
                      <w:lang w:val="en-US" w:eastAsia="zh-CN" w:bidi="ar-SA"/>
                    </w:rPr>
                  </w:pPr>
                  <w:r>
                    <w:rPr>
                      <w:rFonts w:hint="default" w:ascii="Times New Roman" w:hAnsi="Times New Roman" w:cs="Times New Roman"/>
                      <w:b w:val="0"/>
                      <w:bCs/>
                      <w:color w:val="auto"/>
                      <w:kern w:val="0"/>
                      <w:szCs w:val="21"/>
                    </w:rPr>
                    <w:t>VOCs</w:t>
                  </w:r>
                </w:p>
              </w:tc>
              <w:tc>
                <w:tcPr>
                  <w:tcW w:w="161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Cs w:val="21"/>
                      <w:lang w:val="en-US" w:eastAsia="zh-CN"/>
                    </w:rPr>
                  </w:pPr>
                  <w:r>
                    <w:rPr>
                      <w:rFonts w:hint="default" w:ascii="Times New Roman" w:hAnsi="Times New Roman" w:cs="Times New Roman"/>
                      <w:b w:val="0"/>
                      <w:bCs/>
                      <w:color w:val="auto"/>
                      <w:szCs w:val="21"/>
                      <w:lang w:val="en-US" w:eastAsia="zh-CN"/>
                    </w:rPr>
                    <w:t>47.453</w:t>
                  </w:r>
                </w:p>
              </w:tc>
              <w:tc>
                <w:tcPr>
                  <w:tcW w:w="141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48.093</w:t>
                  </w:r>
                </w:p>
              </w:tc>
            </w:tr>
          </w:tbl>
          <w:p>
            <w:pPr>
              <w:pStyle w:val="4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18"/>
                <w:lang w:val="en-US" w:eastAsia="zh-CN"/>
              </w:rPr>
            </w:pPr>
            <w:r>
              <w:rPr>
                <w:rFonts w:hint="default" w:ascii="Times New Roman" w:hAnsi="Times New Roman" w:cs="Times New Roman"/>
                <w:color w:val="auto"/>
                <w:sz w:val="21"/>
                <w:szCs w:val="18"/>
                <w:lang w:val="en-US" w:eastAsia="zh-CN"/>
              </w:rPr>
              <w:t>注：现有项目排放量指低氮改造等完成后的排放量</w:t>
            </w:r>
          </w:p>
          <w:p>
            <w:pPr>
              <w:pStyle w:val="4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lang w:val="en-US" w:eastAsia="zh-CN"/>
              </w:rPr>
            </w:pPr>
            <w:r>
              <w:rPr>
                <w:rFonts w:hint="default" w:ascii="Times New Roman" w:hAnsi="Times New Roman" w:cs="Times New Roman"/>
                <w:b w:val="0"/>
                <w:bCs/>
                <w:color w:val="auto"/>
                <w:sz w:val="24"/>
                <w:lang w:val="en-US" w:eastAsia="zh-CN"/>
              </w:rPr>
              <w:t>根据上表，现有项目主要污染物排放量符合总量控制要求。</w:t>
            </w:r>
          </w:p>
        </w:tc>
      </w:tr>
      <w:tr>
        <w:tblPrEx>
          <w:tblCellMar>
            <w:top w:w="0" w:type="dxa"/>
            <w:left w:w="0" w:type="dxa"/>
            <w:bottom w:w="0" w:type="dxa"/>
            <w:right w:w="0" w:type="dxa"/>
          </w:tblCellMar>
        </w:tblPrEx>
        <w:trPr>
          <w:trHeight w:val="7595" w:hRule="atLeast"/>
          <w:jc w:val="center"/>
        </w:trPr>
        <w:tc>
          <w:tcPr>
            <w:tcW w:w="1718" w:type="dxa"/>
            <w:gridSpan w:val="2"/>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jc w:val="center"/>
              <w:textAlignment w:val="auto"/>
              <w:rPr>
                <w:rFonts w:hint="default" w:ascii="Times New Roman" w:hAnsi="Times New Roman" w:cs="Times New Roman"/>
                <w:b/>
                <w:color w:val="auto"/>
                <w:highlight w:val="none"/>
              </w:rPr>
            </w:pPr>
            <w:r>
              <w:rPr>
                <w:rFonts w:hint="default" w:ascii="Times New Roman" w:hAnsi="Times New Roman" w:cs="Times New Roman"/>
                <w:b/>
                <w:color w:val="auto"/>
                <w:highlight w:val="none"/>
              </w:rPr>
              <w:t>以新带老措施</w:t>
            </w:r>
          </w:p>
        </w:tc>
        <w:tc>
          <w:tcPr>
            <w:tcW w:w="7886" w:type="dxa"/>
            <w:gridSpan w:val="3"/>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val="0"/>
              <w:wordWrap w:val="0"/>
              <w:overflowPunct/>
              <w:topLinePunct w:val="0"/>
              <w:bidi w:val="0"/>
              <w:spacing w:line="240" w:lineRule="auto"/>
              <w:ind w:firstLine="48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kern w:val="0"/>
                <w:highlight w:val="none"/>
                <w:lang w:val="en-US" w:eastAsia="zh-CN"/>
              </w:rPr>
              <w:t>本项目不涉及以新带老。</w:t>
            </w:r>
          </w:p>
        </w:tc>
      </w:tr>
    </w:tbl>
    <w:p>
      <w:pPr>
        <w:shd w:val="clear"/>
        <w:rPr>
          <w:rFonts w:ascii="Times New Roman" w:hAnsi="Times New Roman"/>
          <w:color w:val="auto"/>
          <w:highlight w:val="none"/>
        </w:rPr>
      </w:pPr>
    </w:p>
    <w:p>
      <w:pPr>
        <w:shd w:val="clear"/>
        <w:jc w:val="center"/>
        <w:rPr>
          <w:rFonts w:ascii="Times New Roman" w:hAnsi="Times New Roman"/>
          <w:b/>
          <w:color w:val="auto"/>
          <w:highlight w:val="none"/>
        </w:rPr>
        <w:sectPr>
          <w:footerReference r:id="rId10" w:type="default"/>
          <w:pgSz w:w="11900" w:h="16820"/>
          <w:pgMar w:top="1400" w:right="1100" w:bottom="1420" w:left="1060" w:header="720" w:footer="720" w:gutter="0"/>
          <w:pgNumType w:fmt="decimal" w:start="1"/>
          <w:cols w:space="720" w:num="1"/>
          <w:docGrid w:linePitch="326" w:charSpace="0"/>
        </w:sectPr>
      </w:pPr>
    </w:p>
    <w:tbl>
      <w:tblPr>
        <w:tblStyle w:val="15"/>
        <w:tblW w:w="9777" w:type="dxa"/>
        <w:jc w:val="center"/>
        <w:tblLayout w:type="fixed"/>
        <w:tblCellMar>
          <w:top w:w="0" w:type="dxa"/>
          <w:left w:w="0" w:type="dxa"/>
          <w:bottom w:w="0" w:type="dxa"/>
          <w:right w:w="0" w:type="dxa"/>
        </w:tblCellMar>
      </w:tblPr>
      <w:tblGrid>
        <w:gridCol w:w="1405"/>
        <w:gridCol w:w="1515"/>
        <w:gridCol w:w="1142"/>
        <w:gridCol w:w="1142"/>
        <w:gridCol w:w="1142"/>
        <w:gridCol w:w="1142"/>
        <w:gridCol w:w="1142"/>
        <w:gridCol w:w="1147"/>
      </w:tblGrid>
      <w:tr>
        <w:tblPrEx>
          <w:tblCellMar>
            <w:top w:w="0" w:type="dxa"/>
            <w:left w:w="0" w:type="dxa"/>
            <w:bottom w:w="0" w:type="dxa"/>
            <w:right w:w="0" w:type="dxa"/>
          </w:tblCellMar>
        </w:tblPrEx>
        <w:trPr>
          <w:trHeight w:val="53" w:hRule="atLeast"/>
          <w:jc w:val="center"/>
        </w:trPr>
        <w:tc>
          <w:tcPr>
            <w:tcW w:w="140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主要环境影响</w:t>
            </w:r>
            <w:r>
              <w:rPr>
                <w:rFonts w:ascii="Times New Roman" w:hAnsi="Times New Roman"/>
                <w:b/>
                <w:color w:val="auto"/>
                <w:highlight w:val="none"/>
              </w:rPr>
              <w:t xml:space="preserve"> </w:t>
            </w:r>
          </w:p>
        </w:tc>
        <w:tc>
          <w:tcPr>
            <w:tcW w:w="8372" w:type="dxa"/>
            <w:gridSpan w:val="7"/>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spacing w:line="360" w:lineRule="auto"/>
              <w:rPr>
                <w:rFonts w:ascii="Times New Roman" w:hAnsi="Times New Roman"/>
                <w:b/>
                <w:bCs/>
                <w:color w:val="auto"/>
                <w:highlight w:val="none"/>
              </w:rPr>
            </w:pPr>
            <w:r>
              <w:rPr>
                <w:rFonts w:hint="eastAsia" w:ascii="Times New Roman" w:hAnsi="Times New Roman"/>
                <w:b/>
                <w:bCs/>
                <w:color w:val="auto"/>
                <w:highlight w:val="none"/>
              </w:rPr>
              <w:t>废水：</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项目生产过程中不产生工艺废水，外排废水为生活污水。</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项目员工定员</w:t>
            </w:r>
            <w:r>
              <w:rPr>
                <w:rFonts w:hint="eastAsia" w:ascii="Times New Roman" w:hAnsi="Times New Roman"/>
                <w:color w:val="auto"/>
                <w:highlight w:val="none"/>
                <w:lang w:val="en-US" w:eastAsia="zh-CN"/>
              </w:rPr>
              <w:t>1</w:t>
            </w:r>
            <w:r>
              <w:rPr>
                <w:rFonts w:ascii="Times New Roman" w:hAnsi="Times New Roman"/>
                <w:color w:val="auto"/>
                <w:highlight w:val="none"/>
              </w:rPr>
              <w:t>0人，</w:t>
            </w:r>
            <w:r>
              <w:rPr>
                <w:rFonts w:hint="eastAsia" w:ascii="Times New Roman" w:hAnsi="Times New Roman"/>
                <w:color w:val="auto"/>
                <w:highlight w:val="none"/>
                <w:lang w:eastAsia="zh-CN"/>
              </w:rPr>
              <w:t>食堂依托现有，厂区不设宿舍，</w:t>
            </w:r>
            <w:r>
              <w:rPr>
                <w:rFonts w:ascii="Times New Roman" w:hAnsi="Times New Roman"/>
                <w:color w:val="auto"/>
                <w:highlight w:val="none"/>
              </w:rPr>
              <w:t>每人每天用水量按</w:t>
            </w:r>
            <w:r>
              <w:rPr>
                <w:rFonts w:hint="eastAsia" w:ascii="Times New Roman" w:hAnsi="Times New Roman"/>
                <w:color w:val="auto"/>
                <w:highlight w:val="none"/>
                <w:lang w:val="en-US" w:eastAsia="zh-CN"/>
              </w:rPr>
              <w:t>100</w:t>
            </w:r>
            <w:r>
              <w:rPr>
                <w:rFonts w:ascii="Times New Roman" w:hAnsi="Times New Roman"/>
                <w:color w:val="auto"/>
                <w:highlight w:val="none"/>
              </w:rPr>
              <w:t>L计，则生活用水量约为</w:t>
            </w:r>
            <w:r>
              <w:rPr>
                <w:rFonts w:hint="eastAsia" w:ascii="Times New Roman" w:hAnsi="Times New Roman"/>
                <w:color w:val="auto"/>
                <w:highlight w:val="none"/>
                <w:lang w:val="en-US" w:eastAsia="zh-CN"/>
              </w:rPr>
              <w:t>300</w:t>
            </w:r>
            <w:r>
              <w:rPr>
                <w:rFonts w:ascii="Times New Roman" w:hAnsi="Times New Roman"/>
                <w:color w:val="auto"/>
                <w:highlight w:val="none"/>
              </w:rPr>
              <w:t>t/a。排污系数按0.85计，则生活污水产排放量约</w:t>
            </w:r>
            <w:r>
              <w:rPr>
                <w:rFonts w:hint="eastAsia" w:ascii="Times New Roman" w:hAnsi="Times New Roman"/>
                <w:color w:val="auto"/>
                <w:highlight w:val="none"/>
                <w:lang w:val="en-US" w:eastAsia="zh-CN"/>
              </w:rPr>
              <w:t>255</w:t>
            </w:r>
            <w:r>
              <w:rPr>
                <w:rFonts w:ascii="Times New Roman" w:hAnsi="Times New Roman"/>
                <w:color w:val="auto"/>
                <w:highlight w:val="none"/>
              </w:rPr>
              <w:t>t/a。生活污水水质参照一般城市生活污水水质pH：6～9、COD</w:t>
            </w:r>
            <w:r>
              <w:rPr>
                <w:rFonts w:ascii="Times New Roman" w:hAnsi="Times New Roman"/>
                <w:color w:val="auto"/>
                <w:highlight w:val="none"/>
                <w:vertAlign w:val="subscript"/>
              </w:rPr>
              <w:t>Cr</w:t>
            </w:r>
            <w:r>
              <w:rPr>
                <w:rFonts w:ascii="Times New Roman" w:hAnsi="Times New Roman"/>
                <w:color w:val="auto"/>
                <w:highlight w:val="none"/>
              </w:rPr>
              <w:t>：</w:t>
            </w:r>
            <w:r>
              <w:rPr>
                <w:rFonts w:hint="eastAsia" w:ascii="Times New Roman" w:hAnsi="Times New Roman"/>
                <w:color w:val="auto"/>
                <w:highlight w:val="none"/>
              </w:rPr>
              <w:t>350</w:t>
            </w:r>
            <w:r>
              <w:rPr>
                <w:rFonts w:ascii="Times New Roman" w:hAnsi="Times New Roman"/>
                <w:color w:val="auto"/>
                <w:highlight w:val="none"/>
              </w:rPr>
              <w:t>mg/L</w:t>
            </w:r>
            <w:r>
              <w:rPr>
                <w:rFonts w:hint="eastAsia" w:ascii="Times New Roman" w:hAnsi="Times New Roman"/>
                <w:color w:val="auto"/>
                <w:highlight w:val="none"/>
                <w:lang w:eastAsia="zh-CN"/>
              </w:rPr>
              <w:t>、</w:t>
            </w:r>
            <w:r>
              <w:rPr>
                <w:rFonts w:ascii="Times New Roman" w:hAnsi="Times New Roman"/>
                <w:color w:val="auto"/>
                <w:highlight w:val="none"/>
              </w:rPr>
              <w:t>NH</w:t>
            </w:r>
            <w:r>
              <w:rPr>
                <w:rFonts w:ascii="Times New Roman" w:hAnsi="Times New Roman"/>
                <w:color w:val="auto"/>
                <w:highlight w:val="none"/>
                <w:vertAlign w:val="subscript"/>
              </w:rPr>
              <w:t>3</w:t>
            </w:r>
            <w:r>
              <w:rPr>
                <w:rFonts w:ascii="Times New Roman" w:hAnsi="Times New Roman"/>
                <w:color w:val="auto"/>
                <w:highlight w:val="none"/>
              </w:rPr>
              <w:t>-N：35mg/L，则生活污水中COD</w:t>
            </w:r>
            <w:r>
              <w:rPr>
                <w:rFonts w:ascii="Times New Roman" w:hAnsi="Times New Roman"/>
                <w:color w:val="auto"/>
                <w:highlight w:val="none"/>
                <w:vertAlign w:val="subscript"/>
              </w:rPr>
              <w:t>Cr</w:t>
            </w:r>
            <w:r>
              <w:rPr>
                <w:rFonts w:ascii="Times New Roman" w:hAnsi="Times New Roman"/>
                <w:color w:val="auto"/>
                <w:highlight w:val="none"/>
              </w:rPr>
              <w:t>产生量</w:t>
            </w:r>
            <w:r>
              <w:rPr>
                <w:rFonts w:hint="eastAsia" w:ascii="Times New Roman" w:hAnsi="Times New Roman"/>
                <w:color w:val="auto"/>
                <w:highlight w:val="none"/>
                <w:lang w:val="en-US" w:eastAsia="zh-CN"/>
              </w:rPr>
              <w:t>0.089</w:t>
            </w:r>
            <w:r>
              <w:rPr>
                <w:rFonts w:ascii="Times New Roman" w:hAnsi="Times New Roman"/>
                <w:color w:val="auto"/>
                <w:highlight w:val="none"/>
              </w:rPr>
              <w:t>t/a，NH</w:t>
            </w:r>
            <w:r>
              <w:rPr>
                <w:rFonts w:ascii="Times New Roman" w:hAnsi="Times New Roman"/>
                <w:color w:val="auto"/>
                <w:highlight w:val="none"/>
                <w:vertAlign w:val="subscript"/>
              </w:rPr>
              <w:t>3</w:t>
            </w:r>
            <w:r>
              <w:rPr>
                <w:rFonts w:ascii="Times New Roman" w:hAnsi="Times New Roman"/>
                <w:color w:val="auto"/>
                <w:highlight w:val="none"/>
              </w:rPr>
              <w:t>-N为</w:t>
            </w:r>
            <w:r>
              <w:rPr>
                <w:rFonts w:hint="eastAsia" w:ascii="Times New Roman" w:hAnsi="Times New Roman"/>
                <w:color w:val="auto"/>
                <w:highlight w:val="none"/>
                <w:lang w:eastAsia="zh-CN"/>
              </w:rPr>
              <w:t>0.00</w:t>
            </w:r>
            <w:r>
              <w:rPr>
                <w:rFonts w:hint="eastAsia" w:ascii="Times New Roman" w:hAnsi="Times New Roman"/>
                <w:color w:val="auto"/>
                <w:highlight w:val="none"/>
                <w:lang w:val="en-US" w:eastAsia="zh-CN"/>
              </w:rPr>
              <w:t>9</w:t>
            </w:r>
            <w:r>
              <w:rPr>
                <w:rFonts w:ascii="Times New Roman" w:hAnsi="Times New Roman"/>
                <w:color w:val="auto"/>
                <w:highlight w:val="none"/>
              </w:rPr>
              <w:t>t/a。</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生活污水经预处理达《污水综合排放标准》（GB8978-1996）三级标准后纳入污水管网，最终由</w:t>
            </w:r>
            <w:r>
              <w:rPr>
                <w:rFonts w:hint="eastAsia" w:ascii="Times New Roman" w:hAnsi="Times New Roman"/>
                <w:color w:val="auto"/>
                <w:highlight w:val="none"/>
                <w:lang w:eastAsia="zh-CN"/>
              </w:rPr>
              <w:t>丁桥污水处理厂</w:t>
            </w:r>
            <w:r>
              <w:rPr>
                <w:rFonts w:ascii="Times New Roman" w:hAnsi="Times New Roman"/>
                <w:color w:val="auto"/>
                <w:highlight w:val="none"/>
              </w:rPr>
              <w:t>处理达到《城镇污水处理厂污染物排放标准》（GB18918-2002）一级A准后排放。本项目生活污水排放量为</w:t>
            </w:r>
            <w:r>
              <w:rPr>
                <w:rFonts w:hint="eastAsia" w:ascii="Times New Roman" w:hAnsi="Times New Roman"/>
                <w:color w:val="auto"/>
                <w:highlight w:val="none"/>
                <w:lang w:val="en-US" w:eastAsia="zh-CN"/>
              </w:rPr>
              <w:t>255</w:t>
            </w:r>
            <w:r>
              <w:rPr>
                <w:rFonts w:ascii="Times New Roman" w:hAnsi="Times New Roman"/>
                <w:color w:val="auto"/>
                <w:highlight w:val="none"/>
              </w:rPr>
              <w:t>t/a，COD</w:t>
            </w:r>
            <w:r>
              <w:rPr>
                <w:rFonts w:ascii="Times New Roman" w:hAnsi="Times New Roman"/>
                <w:color w:val="auto"/>
                <w:highlight w:val="none"/>
                <w:vertAlign w:val="subscript"/>
              </w:rPr>
              <w:t>Cr</w:t>
            </w:r>
            <w:r>
              <w:rPr>
                <w:rFonts w:ascii="Times New Roman" w:hAnsi="Times New Roman"/>
                <w:color w:val="auto"/>
                <w:highlight w:val="none"/>
              </w:rPr>
              <w:t>、NH</w:t>
            </w:r>
            <w:r>
              <w:rPr>
                <w:rFonts w:ascii="Times New Roman" w:hAnsi="Times New Roman"/>
                <w:color w:val="auto"/>
                <w:highlight w:val="none"/>
                <w:vertAlign w:val="subscript"/>
              </w:rPr>
              <w:t>3</w:t>
            </w:r>
            <w:r>
              <w:rPr>
                <w:rFonts w:ascii="Times New Roman" w:hAnsi="Times New Roman"/>
                <w:color w:val="auto"/>
                <w:highlight w:val="none"/>
              </w:rPr>
              <w:t>-N的排放浓度分别为50mg/L、5mg/L，废水中污染物最终外排环境总量为COD</w:t>
            </w:r>
            <w:r>
              <w:rPr>
                <w:rFonts w:ascii="Times New Roman" w:hAnsi="Times New Roman"/>
                <w:color w:val="auto"/>
                <w:highlight w:val="none"/>
                <w:vertAlign w:val="subscript"/>
              </w:rPr>
              <w:t xml:space="preserve">Cr </w:t>
            </w:r>
            <w:r>
              <w:rPr>
                <w:rFonts w:hint="eastAsia" w:ascii="Times New Roman" w:hAnsi="Times New Roman"/>
                <w:color w:val="auto"/>
                <w:highlight w:val="none"/>
                <w:lang w:eastAsia="zh-CN"/>
              </w:rPr>
              <w:t>0.0</w:t>
            </w:r>
            <w:r>
              <w:rPr>
                <w:rFonts w:hint="eastAsia" w:ascii="Times New Roman" w:hAnsi="Times New Roman"/>
                <w:color w:val="auto"/>
                <w:highlight w:val="none"/>
                <w:lang w:val="en-US" w:eastAsia="zh-CN"/>
              </w:rPr>
              <w:t>13</w:t>
            </w:r>
            <w:r>
              <w:rPr>
                <w:rFonts w:ascii="Times New Roman" w:hAnsi="Times New Roman"/>
                <w:color w:val="auto"/>
                <w:highlight w:val="none"/>
              </w:rPr>
              <w:t>t/a、NH</w:t>
            </w:r>
            <w:r>
              <w:rPr>
                <w:rFonts w:ascii="Times New Roman" w:hAnsi="Times New Roman"/>
                <w:color w:val="auto"/>
                <w:highlight w:val="none"/>
                <w:vertAlign w:val="subscript"/>
              </w:rPr>
              <w:t>3</w:t>
            </w:r>
            <w:r>
              <w:rPr>
                <w:rFonts w:ascii="Times New Roman" w:hAnsi="Times New Roman"/>
                <w:color w:val="auto"/>
                <w:highlight w:val="none"/>
              </w:rPr>
              <w:t xml:space="preserve">-N </w:t>
            </w:r>
            <w:r>
              <w:rPr>
                <w:rFonts w:hint="eastAsia" w:ascii="Times New Roman" w:hAnsi="Times New Roman"/>
                <w:color w:val="auto"/>
                <w:highlight w:val="none"/>
                <w:lang w:eastAsia="zh-CN"/>
              </w:rPr>
              <w:t>0.00</w:t>
            </w:r>
            <w:r>
              <w:rPr>
                <w:rFonts w:hint="eastAsia" w:ascii="Times New Roman" w:hAnsi="Times New Roman"/>
                <w:color w:val="auto"/>
                <w:highlight w:val="none"/>
                <w:lang w:val="en-US" w:eastAsia="zh-CN"/>
              </w:rPr>
              <w:t>1</w:t>
            </w:r>
            <w:r>
              <w:rPr>
                <w:rFonts w:ascii="Times New Roman" w:hAnsi="Times New Roman"/>
                <w:color w:val="auto"/>
                <w:highlight w:val="none"/>
              </w:rPr>
              <w:t>t/a。</w:t>
            </w:r>
          </w:p>
          <w:p>
            <w:pPr>
              <w:shd w:val="clear"/>
              <w:spacing w:line="360" w:lineRule="auto"/>
              <w:rPr>
                <w:rFonts w:hint="eastAsia" w:ascii="Times New Roman" w:hAnsi="Times New Roman"/>
                <w:b/>
                <w:bCs/>
                <w:color w:val="auto"/>
                <w:highlight w:val="none"/>
              </w:rPr>
            </w:pPr>
            <w:r>
              <w:rPr>
                <w:rFonts w:hint="eastAsia" w:ascii="Times New Roman" w:hAnsi="Times New Roman"/>
                <w:b/>
                <w:bCs/>
                <w:color w:val="auto"/>
                <w:highlight w:val="none"/>
              </w:rPr>
              <w:t>废气：</w:t>
            </w:r>
          </w:p>
          <w:p>
            <w:pPr>
              <w:pStyle w:val="3"/>
              <w:keepNext w:val="0"/>
              <w:keepLines w:val="0"/>
              <w:pageBreakBefore w:val="0"/>
              <w:widowControl w:val="0"/>
              <w:numPr>
                <w:ilvl w:val="0"/>
                <w:numId w:val="6"/>
              </w:numPr>
              <w:shd w:val="clear"/>
              <w:kinsoku/>
              <w:wordWrap/>
              <w:overflowPunct/>
              <w:topLinePunct w:val="0"/>
              <w:autoSpaceDE/>
              <w:autoSpaceDN/>
              <w:bidi w:val="0"/>
              <w:adjustRightInd/>
              <w:snapToGrid/>
              <w:spacing w:before="0" w:after="0" w:line="360" w:lineRule="auto"/>
              <w:ind w:left="0" w:leftChars="0" w:firstLine="480"/>
              <w:textAlignment w:val="auto"/>
              <w:rPr>
                <w:rFonts w:hint="eastAsia" w:ascii="Times New Roman" w:hAnsi="Times New Roman"/>
                <w:b w:val="0"/>
                <w:bCs w:val="0"/>
                <w:color w:val="auto"/>
                <w:sz w:val="24"/>
                <w:szCs w:val="24"/>
                <w:highlight w:val="none"/>
                <w:lang w:eastAsia="zh-CN"/>
              </w:rPr>
            </w:pPr>
            <w:r>
              <w:rPr>
                <w:rFonts w:hint="eastAsia" w:ascii="Times New Roman" w:hAnsi="Times New Roman"/>
                <w:b w:val="0"/>
                <w:bCs w:val="0"/>
                <w:color w:val="auto"/>
                <w:sz w:val="24"/>
                <w:szCs w:val="24"/>
                <w:highlight w:val="none"/>
                <w:lang w:eastAsia="zh-CN"/>
              </w:rPr>
              <w:t>试制废气：本项目为研发中心建设类项目，仅进行新产品的研发、试制及小试，研发过程的试制和小试工艺和现有项目一致，主要涉及混料、压延、贴合工序，此外，部分产品还要进行</w:t>
            </w:r>
            <w:r>
              <w:rPr>
                <w:rFonts w:hint="eastAsia" w:ascii="Times New Roman" w:hAnsi="Times New Roman"/>
                <w:b w:val="0"/>
                <w:bCs w:val="0"/>
                <w:color w:val="auto"/>
                <w:sz w:val="24"/>
                <w:szCs w:val="24"/>
                <w:highlight w:val="none"/>
                <w:lang w:val="en-US" w:eastAsia="zh-CN"/>
              </w:rPr>
              <w:t>logo的印刷，</w:t>
            </w:r>
            <w:r>
              <w:rPr>
                <w:rFonts w:hint="eastAsia"/>
                <w:b w:val="0"/>
                <w:bCs w:val="0"/>
                <w:color w:val="auto"/>
                <w:sz w:val="24"/>
                <w:szCs w:val="24"/>
                <w:highlight w:val="none"/>
                <w:lang w:val="en-US" w:eastAsia="zh-CN"/>
              </w:rPr>
              <w:t>试制及小试的规模一般单个品种产品规模为1-5m</w:t>
            </w:r>
            <w:r>
              <w:rPr>
                <w:rFonts w:hint="eastAsia"/>
                <w:b w:val="0"/>
                <w:bCs w:val="0"/>
                <w:color w:val="auto"/>
                <w:sz w:val="24"/>
                <w:szCs w:val="24"/>
                <w:highlight w:val="none"/>
                <w:vertAlign w:val="superscript"/>
                <w:lang w:val="en-US" w:eastAsia="zh-CN"/>
              </w:rPr>
              <w:t>2</w:t>
            </w:r>
            <w:r>
              <w:rPr>
                <w:rFonts w:hint="eastAsia"/>
                <w:b w:val="0"/>
                <w:bCs w:val="0"/>
                <w:color w:val="auto"/>
                <w:sz w:val="24"/>
                <w:szCs w:val="24"/>
                <w:highlight w:val="none"/>
                <w:lang w:val="en-US" w:eastAsia="zh-CN"/>
              </w:rPr>
              <w:t>，年试制及小试品种不超过50种。</w:t>
            </w:r>
            <w:r>
              <w:rPr>
                <w:rFonts w:hint="eastAsia" w:ascii="Times New Roman" w:hAnsi="Times New Roman"/>
                <w:b w:val="0"/>
                <w:bCs w:val="0"/>
                <w:color w:val="auto"/>
                <w:sz w:val="24"/>
                <w:szCs w:val="24"/>
                <w:highlight w:val="none"/>
                <w:lang w:eastAsia="zh-CN"/>
              </w:rPr>
              <w:t>由于试制过程所用原料较少，产生的废气量也极少，通过研发中心换气系统排出，本次评价不进行定量分析。</w:t>
            </w:r>
          </w:p>
          <w:p>
            <w:pPr>
              <w:pStyle w:val="3"/>
              <w:keepNext w:val="0"/>
              <w:keepLines w:val="0"/>
              <w:pageBreakBefore w:val="0"/>
              <w:widowControl w:val="0"/>
              <w:numPr>
                <w:ilvl w:val="0"/>
                <w:numId w:val="6"/>
              </w:numPr>
              <w:shd w:val="clear"/>
              <w:kinsoku/>
              <w:wordWrap/>
              <w:overflowPunct/>
              <w:topLinePunct w:val="0"/>
              <w:autoSpaceDE/>
              <w:autoSpaceDN/>
              <w:bidi w:val="0"/>
              <w:adjustRightInd/>
              <w:snapToGrid/>
              <w:spacing w:before="0" w:after="0" w:line="360" w:lineRule="auto"/>
              <w:ind w:left="0" w:leftChars="0" w:firstLine="480"/>
              <w:textAlignment w:val="auto"/>
              <w:rPr>
                <w:rFonts w:hint="default" w:ascii="Times New Roman" w:hAnsi="Times New Roman"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lang w:eastAsia="zh-CN"/>
              </w:rPr>
              <w:t>食堂油烟：本项目劳动定员</w:t>
            </w:r>
            <w:r>
              <w:rPr>
                <w:rFonts w:hint="default" w:ascii="Times New Roman" w:hAnsi="Times New Roman" w:cs="Times New Roman"/>
                <w:b w:val="0"/>
                <w:bCs w:val="0"/>
                <w:color w:val="auto"/>
                <w:sz w:val="24"/>
                <w:szCs w:val="24"/>
                <w:highlight w:val="none"/>
                <w:lang w:val="en-US" w:eastAsia="zh-CN"/>
              </w:rPr>
              <w:t>10人，食堂依托新厂区现有，人均食用油消耗量约15g/人•d，</w:t>
            </w:r>
            <w:r>
              <w:rPr>
                <w:rFonts w:hint="default" w:ascii="Times New Roman" w:hAnsi="Times New Roman" w:cs="Times New Roman"/>
                <w:b w:val="0"/>
                <w:bCs w:val="0"/>
                <w:sz w:val="24"/>
                <w:szCs w:val="32"/>
                <w:lang w:eastAsia="zh-CN"/>
              </w:rPr>
              <w:t>则本项目实施后新增食用油消耗量共计</w:t>
            </w:r>
            <w:r>
              <w:rPr>
                <w:rFonts w:hint="default" w:ascii="Times New Roman" w:hAnsi="Times New Roman" w:cs="Times New Roman"/>
                <w:b w:val="0"/>
                <w:bCs w:val="0"/>
                <w:sz w:val="24"/>
                <w:szCs w:val="32"/>
                <w:lang w:val="en-US" w:eastAsia="zh-CN"/>
              </w:rPr>
              <w:t>0.045t/a，</w:t>
            </w:r>
            <w:r>
              <w:rPr>
                <w:rFonts w:hint="default" w:ascii="Times New Roman" w:hAnsi="Times New Roman" w:cs="Times New Roman"/>
                <w:b w:val="0"/>
                <w:bCs w:val="0"/>
                <w:sz w:val="24"/>
                <w:szCs w:val="32"/>
              </w:rPr>
              <w:t>油烟废气按照3%的产生量计算，</w:t>
            </w:r>
            <w:r>
              <w:rPr>
                <w:rFonts w:hint="default" w:ascii="Times New Roman" w:hAnsi="Times New Roman" w:cs="Times New Roman"/>
                <w:b w:val="0"/>
                <w:bCs w:val="0"/>
                <w:sz w:val="24"/>
                <w:szCs w:val="32"/>
                <w:lang w:eastAsia="zh-CN"/>
              </w:rPr>
              <w:t>则新增油烟产生量</w:t>
            </w:r>
            <w:r>
              <w:rPr>
                <w:rFonts w:hint="default" w:ascii="Times New Roman" w:hAnsi="Times New Roman" w:cs="Times New Roman"/>
                <w:b w:val="0"/>
                <w:bCs w:val="0"/>
                <w:sz w:val="24"/>
                <w:szCs w:val="32"/>
                <w:lang w:val="en-US" w:eastAsia="zh-CN"/>
              </w:rPr>
              <w:t>0.001t/a，</w:t>
            </w:r>
            <w:r>
              <w:rPr>
                <w:rFonts w:hint="default" w:ascii="Times New Roman" w:hAnsi="Times New Roman" w:cs="Times New Roman"/>
                <w:b w:val="0"/>
                <w:bCs w:val="0"/>
                <w:sz w:val="24"/>
                <w:szCs w:val="32"/>
              </w:rPr>
              <w:t>企业安装了油烟净化装置对油烟进行净化处理，油烟净化效率在</w:t>
            </w:r>
            <w:r>
              <w:rPr>
                <w:rFonts w:hint="default" w:ascii="Times New Roman" w:hAnsi="Times New Roman" w:cs="Times New Roman"/>
                <w:b w:val="0"/>
                <w:bCs w:val="0"/>
                <w:sz w:val="24"/>
                <w:szCs w:val="32"/>
                <w:lang w:val="en-US" w:eastAsia="zh-CN"/>
              </w:rPr>
              <w:t>85</w:t>
            </w:r>
            <w:r>
              <w:rPr>
                <w:rFonts w:hint="default" w:ascii="Times New Roman" w:hAnsi="Times New Roman" w:cs="Times New Roman"/>
                <w:b w:val="0"/>
                <w:bCs w:val="0"/>
                <w:sz w:val="24"/>
                <w:szCs w:val="32"/>
              </w:rPr>
              <w:t>%以上</w:t>
            </w:r>
            <w:r>
              <w:rPr>
                <w:rFonts w:hint="default" w:ascii="Times New Roman" w:hAnsi="Times New Roman" w:cs="Times New Roman"/>
                <w:b w:val="0"/>
                <w:bCs w:val="0"/>
                <w:sz w:val="24"/>
                <w:szCs w:val="32"/>
                <w:lang w:eastAsia="zh-CN"/>
              </w:rPr>
              <w:t>，根据新厂区</w:t>
            </w:r>
            <w:r>
              <w:rPr>
                <w:rFonts w:hint="default" w:ascii="Times New Roman" w:hAnsi="Times New Roman" w:cs="Times New Roman"/>
                <w:b w:val="0"/>
                <w:bCs w:val="0"/>
                <w:sz w:val="24"/>
                <w:szCs w:val="32"/>
              </w:rPr>
              <w:t>原</w:t>
            </w:r>
            <w:r>
              <w:rPr>
                <w:rFonts w:hint="default" w:ascii="Times New Roman" w:hAnsi="Times New Roman" w:cs="Times New Roman"/>
                <w:b w:val="0"/>
                <w:bCs w:val="0"/>
                <w:sz w:val="24"/>
                <w:szCs w:val="32"/>
                <w:lang w:eastAsia="zh-CN"/>
              </w:rPr>
              <w:t>审批情况，原审批油烟排放量为</w:t>
            </w:r>
            <w:r>
              <w:rPr>
                <w:rFonts w:hint="default" w:ascii="Times New Roman" w:hAnsi="Times New Roman" w:cs="Times New Roman"/>
                <w:b w:val="0"/>
                <w:bCs w:val="0"/>
                <w:sz w:val="24"/>
                <w:szCs w:val="32"/>
                <w:lang w:val="en-US" w:eastAsia="zh-CN"/>
              </w:rPr>
              <w:t>0.03t/a，则本项目实施后新厂区油烟总排放量0.031t/a，油烟净化装置</w:t>
            </w:r>
            <w:r>
              <w:rPr>
                <w:rFonts w:hint="default" w:ascii="Times New Roman" w:hAnsi="Times New Roman" w:cs="Times New Roman"/>
                <w:b w:val="0"/>
                <w:bCs w:val="0"/>
                <w:sz w:val="24"/>
                <w:szCs w:val="32"/>
              </w:rPr>
              <w:t>处理风量为</w:t>
            </w:r>
            <w:r>
              <w:rPr>
                <w:rFonts w:hint="default" w:ascii="Times New Roman" w:hAnsi="Times New Roman" w:cs="Times New Roman"/>
                <w:b w:val="0"/>
                <w:bCs w:val="0"/>
                <w:sz w:val="24"/>
                <w:szCs w:val="32"/>
                <w:lang w:val="en-US" w:eastAsia="zh-CN"/>
              </w:rPr>
              <w:t>12</w:t>
            </w:r>
            <w:r>
              <w:rPr>
                <w:rFonts w:hint="default" w:ascii="Times New Roman" w:hAnsi="Times New Roman" w:cs="Times New Roman"/>
                <w:b w:val="0"/>
                <w:bCs w:val="0"/>
                <w:sz w:val="24"/>
                <w:szCs w:val="32"/>
              </w:rPr>
              <w:t>000Nm</w:t>
            </w:r>
            <w:r>
              <w:rPr>
                <w:rFonts w:hint="default" w:ascii="Times New Roman" w:hAnsi="Times New Roman" w:cs="Times New Roman"/>
                <w:b w:val="0"/>
                <w:bCs w:val="0"/>
                <w:sz w:val="24"/>
                <w:szCs w:val="32"/>
                <w:vertAlign w:val="superscript"/>
              </w:rPr>
              <w:t>3</w:t>
            </w:r>
            <w:r>
              <w:rPr>
                <w:rFonts w:hint="default" w:ascii="Times New Roman" w:hAnsi="Times New Roman" w:cs="Times New Roman"/>
                <w:b w:val="0"/>
                <w:bCs w:val="0"/>
                <w:sz w:val="24"/>
                <w:szCs w:val="32"/>
              </w:rPr>
              <w:t>/h，处理设施日运行6小时，处理后的油烟废气引向高于屋顶的烟囱排放，排放速率</w:t>
            </w:r>
            <w:r>
              <w:rPr>
                <w:rFonts w:hint="default" w:ascii="Times New Roman" w:hAnsi="Times New Roman" w:cs="Times New Roman"/>
                <w:b w:val="0"/>
                <w:bCs w:val="0"/>
                <w:sz w:val="24"/>
                <w:szCs w:val="32"/>
                <w:lang w:eastAsia="zh-CN"/>
              </w:rPr>
              <w:t>约</w:t>
            </w:r>
            <w:r>
              <w:rPr>
                <w:rFonts w:hint="default" w:ascii="Times New Roman" w:hAnsi="Times New Roman" w:cs="Times New Roman"/>
                <w:b w:val="0"/>
                <w:bCs w:val="0"/>
                <w:sz w:val="24"/>
                <w:szCs w:val="32"/>
              </w:rPr>
              <w:t>为0.0</w:t>
            </w:r>
            <w:r>
              <w:rPr>
                <w:rFonts w:hint="default" w:ascii="Times New Roman" w:hAnsi="Times New Roman" w:cs="Times New Roman"/>
                <w:b w:val="0"/>
                <w:bCs w:val="0"/>
                <w:sz w:val="24"/>
                <w:szCs w:val="32"/>
                <w:lang w:val="en-US" w:eastAsia="zh-CN"/>
              </w:rPr>
              <w:t>17</w:t>
            </w:r>
            <w:r>
              <w:rPr>
                <w:rFonts w:hint="default" w:ascii="Times New Roman" w:hAnsi="Times New Roman" w:cs="Times New Roman"/>
                <w:b w:val="0"/>
                <w:bCs w:val="0"/>
                <w:sz w:val="24"/>
                <w:szCs w:val="32"/>
              </w:rPr>
              <w:t>kg/h，预计排放浓度为1.</w:t>
            </w:r>
            <w:r>
              <w:rPr>
                <w:rFonts w:hint="default" w:ascii="Times New Roman" w:hAnsi="Times New Roman" w:cs="Times New Roman"/>
                <w:b w:val="0"/>
                <w:bCs w:val="0"/>
                <w:sz w:val="24"/>
                <w:szCs w:val="32"/>
                <w:lang w:val="en-US" w:eastAsia="zh-CN"/>
              </w:rPr>
              <w:t>39</w:t>
            </w:r>
            <w:r>
              <w:rPr>
                <w:rFonts w:hint="default" w:ascii="Times New Roman" w:hAnsi="Times New Roman" w:cs="Times New Roman"/>
                <w:b w:val="0"/>
                <w:bCs w:val="0"/>
                <w:sz w:val="24"/>
                <w:szCs w:val="32"/>
              </w:rPr>
              <w:t>mg/Nm</w:t>
            </w:r>
            <w:r>
              <w:rPr>
                <w:rFonts w:hint="default" w:ascii="Times New Roman" w:hAnsi="Times New Roman" w:cs="Times New Roman"/>
                <w:b w:val="0"/>
                <w:bCs w:val="0"/>
                <w:sz w:val="24"/>
                <w:szCs w:val="32"/>
                <w:vertAlign w:val="superscript"/>
              </w:rPr>
              <w:t>3</w:t>
            </w:r>
            <w:r>
              <w:rPr>
                <w:rFonts w:hint="default" w:ascii="Times New Roman" w:hAnsi="Times New Roman" w:cs="Times New Roman"/>
                <w:b w:val="0"/>
                <w:bCs w:val="0"/>
                <w:sz w:val="24"/>
                <w:szCs w:val="32"/>
              </w:rPr>
              <w:t>，符合《饮食业油烟排放标准》（GB18483-2001）中2mg/Nm</w:t>
            </w:r>
            <w:r>
              <w:rPr>
                <w:rFonts w:hint="default" w:ascii="Times New Roman" w:hAnsi="Times New Roman" w:cs="Times New Roman"/>
                <w:b w:val="0"/>
                <w:bCs w:val="0"/>
                <w:sz w:val="24"/>
                <w:szCs w:val="32"/>
                <w:vertAlign w:val="superscript"/>
              </w:rPr>
              <w:t>3</w:t>
            </w:r>
            <w:r>
              <w:rPr>
                <w:rFonts w:hint="default" w:ascii="Times New Roman" w:hAnsi="Times New Roman" w:cs="Times New Roman"/>
                <w:b w:val="0"/>
                <w:bCs w:val="0"/>
                <w:sz w:val="24"/>
                <w:szCs w:val="32"/>
              </w:rPr>
              <w:t>的最高允许排放浓度限值。</w:t>
            </w:r>
          </w:p>
          <w:p>
            <w:pPr>
              <w:shd w:val="clear"/>
              <w:spacing w:line="360" w:lineRule="auto"/>
              <w:rPr>
                <w:rFonts w:hint="eastAsia" w:ascii="Times New Roman" w:hAnsi="Times New Roman"/>
                <w:b/>
                <w:bCs/>
                <w:color w:val="auto"/>
                <w:highlight w:val="none"/>
              </w:rPr>
            </w:pPr>
            <w:r>
              <w:rPr>
                <w:rFonts w:hint="eastAsia" w:ascii="Times New Roman" w:hAnsi="Times New Roman"/>
                <w:b/>
                <w:bCs/>
                <w:color w:val="auto"/>
                <w:highlight w:val="none"/>
              </w:rPr>
              <w:t>噪声：</w:t>
            </w:r>
          </w:p>
          <w:p>
            <w:pPr>
              <w:keepNext w:val="0"/>
              <w:keepLines w:val="0"/>
              <w:pageBreakBefore w:val="0"/>
              <w:widowControl w:val="0"/>
              <w:shd w:val="clear"/>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本项目的噪声来源主要为</w:t>
            </w:r>
            <w:r>
              <w:rPr>
                <w:rFonts w:hint="eastAsia" w:ascii="Times New Roman" w:hAnsi="Times New Roman"/>
                <w:color w:val="auto"/>
                <w:highlight w:val="none"/>
                <w:lang w:eastAsia="zh-CN"/>
              </w:rPr>
              <w:t>研发</w:t>
            </w:r>
            <w:r>
              <w:rPr>
                <w:rFonts w:ascii="Times New Roman" w:hAnsi="Times New Roman"/>
                <w:color w:val="auto"/>
                <w:highlight w:val="none"/>
              </w:rPr>
              <w:t>过程中的机器设备等的运行噪声，</w:t>
            </w:r>
            <w:r>
              <w:rPr>
                <w:rFonts w:hint="eastAsia" w:ascii="Times New Roman" w:hAnsi="Times New Roman"/>
                <w:color w:val="auto"/>
                <w:highlight w:val="none"/>
                <w:lang w:eastAsia="zh-CN"/>
              </w:rPr>
              <w:t>检测设备一般运行噪声较低，</w:t>
            </w:r>
            <w:r>
              <w:rPr>
                <w:rFonts w:ascii="Times New Roman" w:hAnsi="Times New Roman"/>
                <w:color w:val="auto"/>
                <w:highlight w:val="none"/>
              </w:rPr>
              <w:t>项目主要产噪声设备</w:t>
            </w:r>
            <w:r>
              <w:rPr>
                <w:rFonts w:hint="eastAsia" w:ascii="Times New Roman" w:hAnsi="Times New Roman"/>
                <w:color w:val="auto"/>
                <w:highlight w:val="none"/>
                <w:lang w:eastAsia="zh-CN"/>
              </w:rPr>
              <w:t>为试制过程的高噪声设备，主要高噪声设备源强</w:t>
            </w:r>
            <w:r>
              <w:rPr>
                <w:rFonts w:ascii="Times New Roman" w:hAnsi="Times New Roman"/>
                <w:color w:val="auto"/>
                <w:highlight w:val="none"/>
              </w:rPr>
              <w:t>如下表。</w:t>
            </w:r>
          </w:p>
          <w:p>
            <w:pPr>
              <w:keepNext w:val="0"/>
              <w:keepLines w:val="0"/>
              <w:pageBreakBefore w:val="0"/>
              <w:widowControl w:val="0"/>
              <w:shd w:val="clear"/>
              <w:kinsoku/>
              <w:wordWrap/>
              <w:overflowPunct/>
              <w:topLinePunct w:val="0"/>
              <w:autoSpaceDE w:val="0"/>
              <w:autoSpaceDN w:val="0"/>
              <w:bidi w:val="0"/>
              <w:adjustRightInd w:val="0"/>
              <w:snapToGrid w:val="0"/>
              <w:spacing w:after="164" w:afterLines="50" w:line="240" w:lineRule="auto"/>
              <w:ind w:firstLine="0" w:firstLineChars="0"/>
              <w:jc w:val="center"/>
              <w:textAlignment w:val="auto"/>
              <w:rPr>
                <w:rFonts w:ascii="Times New Roman" w:hAnsi="Times New Roman"/>
                <w:b/>
                <w:color w:val="auto"/>
                <w:sz w:val="24"/>
                <w:szCs w:val="24"/>
                <w:highlight w:val="none"/>
              </w:rPr>
            </w:pPr>
            <w:r>
              <w:rPr>
                <w:rFonts w:ascii="Times New Roman" w:hAnsi="Times New Roman"/>
                <w:b/>
                <w:color w:val="auto"/>
                <w:sz w:val="24"/>
                <w:szCs w:val="24"/>
                <w:highlight w:val="none"/>
              </w:rPr>
              <w:t>表</w:t>
            </w:r>
            <w:r>
              <w:rPr>
                <w:rFonts w:hint="eastAsia" w:ascii="Times New Roman" w:hAnsi="Times New Roman"/>
                <w:b/>
                <w:color w:val="auto"/>
                <w:sz w:val="24"/>
                <w:szCs w:val="24"/>
                <w:highlight w:val="none"/>
                <w:lang w:val="en-US" w:eastAsia="zh-CN"/>
              </w:rPr>
              <w:t>9</w:t>
            </w:r>
            <w:r>
              <w:rPr>
                <w:rFonts w:ascii="Times New Roman" w:hAnsi="Times New Roman"/>
                <w:b/>
                <w:color w:val="auto"/>
                <w:sz w:val="24"/>
                <w:szCs w:val="24"/>
                <w:highlight w:val="none"/>
              </w:rPr>
              <w:t xml:space="preserve"> 项目主要噪声源声压级</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54"/>
              <w:gridCol w:w="1685"/>
              <w:gridCol w:w="897"/>
              <w:gridCol w:w="784"/>
              <w:gridCol w:w="744"/>
              <w:gridCol w:w="1067"/>
              <w:gridCol w:w="566"/>
              <w:gridCol w:w="716"/>
              <w:gridCol w:w="594"/>
              <w:gridCol w:w="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554"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1685"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 称</w:t>
                  </w:r>
                </w:p>
              </w:tc>
              <w:tc>
                <w:tcPr>
                  <w:tcW w:w="897"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数量</w:t>
                  </w:r>
                </w:p>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（台/条）</w:t>
                  </w:r>
                </w:p>
              </w:tc>
              <w:tc>
                <w:tcPr>
                  <w:tcW w:w="2595" w:type="dxa"/>
                  <w:gridSpan w:val="3"/>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空间位置</w:t>
                  </w:r>
                </w:p>
              </w:tc>
              <w:tc>
                <w:tcPr>
                  <w:tcW w:w="566"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发声持续时间</w:t>
                  </w:r>
                </w:p>
              </w:tc>
              <w:tc>
                <w:tcPr>
                  <w:tcW w:w="716"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声级</w:t>
                  </w:r>
                </w:p>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w:t>
                  </w:r>
                </w:p>
              </w:tc>
              <w:tc>
                <w:tcPr>
                  <w:tcW w:w="594"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监测位置</w:t>
                  </w:r>
                </w:p>
              </w:tc>
              <w:tc>
                <w:tcPr>
                  <w:tcW w:w="668"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所在厂 房结构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2" w:hRule="atLeast"/>
                <w:jc w:val="center"/>
              </w:trPr>
              <w:tc>
                <w:tcPr>
                  <w:tcW w:w="55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1685"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897"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784"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室内或</w:t>
                  </w:r>
                </w:p>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室外</w:t>
                  </w:r>
                </w:p>
              </w:tc>
              <w:tc>
                <w:tcPr>
                  <w:tcW w:w="744"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所在</w:t>
                  </w:r>
                </w:p>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w:t>
                  </w:r>
                </w:p>
              </w:tc>
              <w:tc>
                <w:tcPr>
                  <w:tcW w:w="1067"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相对地</w:t>
                  </w:r>
                </w:p>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面高度</w:t>
                  </w:r>
                </w:p>
              </w:tc>
              <w:tc>
                <w:tcPr>
                  <w:tcW w:w="566"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716"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59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668"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554"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w:t>
                  </w:r>
                </w:p>
              </w:tc>
              <w:tc>
                <w:tcPr>
                  <w:tcW w:w="1685"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二辊复合机</w:t>
                  </w:r>
                </w:p>
              </w:tc>
              <w:tc>
                <w:tcPr>
                  <w:tcW w:w="89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2</w:t>
                  </w:r>
                </w:p>
              </w:tc>
              <w:tc>
                <w:tcPr>
                  <w:tcW w:w="784"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室内</w:t>
                  </w:r>
                </w:p>
              </w:tc>
              <w:tc>
                <w:tcPr>
                  <w:tcW w:w="744"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w:t>
                  </w:r>
                </w:p>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w:t>
                  </w:r>
                </w:p>
              </w:tc>
              <w:tc>
                <w:tcPr>
                  <w:tcW w:w="1067"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56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71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p>
              </w:tc>
              <w:tc>
                <w:tcPr>
                  <w:tcW w:w="594"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距离设备</w:t>
                  </w:r>
                </w:p>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1m处</w:t>
                  </w:r>
                </w:p>
              </w:tc>
              <w:tc>
                <w:tcPr>
                  <w:tcW w:w="668" w:type="dxa"/>
                  <w:vMerge w:val="restart"/>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钢</w:t>
                  </w:r>
                  <w:r>
                    <w:rPr>
                      <w:rFonts w:hint="default" w:ascii="Times New Roman" w:hAnsi="Times New Roman" w:cs="Times New Roman"/>
                      <w:color w:val="auto"/>
                      <w:sz w:val="21"/>
                      <w:szCs w:val="21"/>
                      <w:highlight w:val="none"/>
                    </w:rPr>
                    <w:t>混</w:t>
                  </w:r>
                </w:p>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554"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2</w:t>
                  </w:r>
                </w:p>
              </w:tc>
              <w:tc>
                <w:tcPr>
                  <w:tcW w:w="1685"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四辊试验机</w:t>
                  </w:r>
                </w:p>
              </w:tc>
              <w:tc>
                <w:tcPr>
                  <w:tcW w:w="89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2</w:t>
                  </w:r>
                </w:p>
              </w:tc>
              <w:tc>
                <w:tcPr>
                  <w:tcW w:w="78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74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1067"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56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10</w:t>
                  </w:r>
                </w:p>
              </w:tc>
              <w:tc>
                <w:tcPr>
                  <w:tcW w:w="71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p>
              </w:tc>
              <w:tc>
                <w:tcPr>
                  <w:tcW w:w="59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668"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554"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w:t>
                  </w:r>
                </w:p>
              </w:tc>
              <w:tc>
                <w:tcPr>
                  <w:tcW w:w="1685"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筛粉机</w:t>
                  </w:r>
                </w:p>
              </w:tc>
              <w:tc>
                <w:tcPr>
                  <w:tcW w:w="89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1</w:t>
                  </w:r>
                </w:p>
              </w:tc>
              <w:tc>
                <w:tcPr>
                  <w:tcW w:w="78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74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1067"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56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71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p>
              </w:tc>
              <w:tc>
                <w:tcPr>
                  <w:tcW w:w="59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668"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554"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4</w:t>
                  </w:r>
                </w:p>
              </w:tc>
              <w:tc>
                <w:tcPr>
                  <w:tcW w:w="1685"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表面处理机</w:t>
                  </w:r>
                </w:p>
              </w:tc>
              <w:tc>
                <w:tcPr>
                  <w:tcW w:w="89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2</w:t>
                  </w:r>
                </w:p>
              </w:tc>
              <w:tc>
                <w:tcPr>
                  <w:tcW w:w="78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74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1067"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56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71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p>
              </w:tc>
              <w:tc>
                <w:tcPr>
                  <w:tcW w:w="59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668"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554"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5</w:t>
                  </w:r>
                </w:p>
              </w:tc>
              <w:tc>
                <w:tcPr>
                  <w:tcW w:w="1685"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喷墨印刷机</w:t>
                  </w:r>
                </w:p>
              </w:tc>
              <w:tc>
                <w:tcPr>
                  <w:tcW w:w="89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2</w:t>
                  </w:r>
                </w:p>
              </w:tc>
              <w:tc>
                <w:tcPr>
                  <w:tcW w:w="78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74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1067"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56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71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p>
              </w:tc>
              <w:tc>
                <w:tcPr>
                  <w:tcW w:w="59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668"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left"/>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554"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6</w:t>
                  </w:r>
                </w:p>
              </w:tc>
              <w:tc>
                <w:tcPr>
                  <w:tcW w:w="1685"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小二辊试验机</w:t>
                  </w:r>
                </w:p>
              </w:tc>
              <w:tc>
                <w:tcPr>
                  <w:tcW w:w="89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3</w:t>
                  </w:r>
                </w:p>
              </w:tc>
              <w:tc>
                <w:tcPr>
                  <w:tcW w:w="78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74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1067"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56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71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80</w:t>
                  </w:r>
                </w:p>
              </w:tc>
              <w:tc>
                <w:tcPr>
                  <w:tcW w:w="59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668"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left"/>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554"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7</w:t>
                  </w:r>
                </w:p>
              </w:tc>
              <w:tc>
                <w:tcPr>
                  <w:tcW w:w="1685"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密炼机</w:t>
                  </w:r>
                </w:p>
              </w:tc>
              <w:tc>
                <w:tcPr>
                  <w:tcW w:w="89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1</w:t>
                  </w:r>
                </w:p>
              </w:tc>
              <w:tc>
                <w:tcPr>
                  <w:tcW w:w="78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74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1067"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56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71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80</w:t>
                  </w:r>
                </w:p>
              </w:tc>
              <w:tc>
                <w:tcPr>
                  <w:tcW w:w="59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668"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left"/>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554"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8</w:t>
                  </w:r>
                </w:p>
              </w:tc>
              <w:tc>
                <w:tcPr>
                  <w:tcW w:w="1685"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挤出机</w:t>
                  </w:r>
                </w:p>
              </w:tc>
              <w:tc>
                <w:tcPr>
                  <w:tcW w:w="89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1</w:t>
                  </w:r>
                </w:p>
              </w:tc>
              <w:tc>
                <w:tcPr>
                  <w:tcW w:w="78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74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1067"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56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71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80</w:t>
                  </w:r>
                </w:p>
              </w:tc>
              <w:tc>
                <w:tcPr>
                  <w:tcW w:w="59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center"/>
                    <w:textAlignment w:val="auto"/>
                    <w:rPr>
                      <w:rFonts w:hint="default" w:ascii="Times New Roman" w:hAnsi="Times New Roman" w:cs="Times New Roman"/>
                      <w:color w:val="auto"/>
                      <w:sz w:val="21"/>
                      <w:szCs w:val="21"/>
                      <w:highlight w:val="none"/>
                    </w:rPr>
                  </w:pPr>
                </w:p>
              </w:tc>
              <w:tc>
                <w:tcPr>
                  <w:tcW w:w="668"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420"/>
                    <w:jc w:val="left"/>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554"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9</w:t>
                  </w:r>
                </w:p>
              </w:tc>
              <w:tc>
                <w:tcPr>
                  <w:tcW w:w="1685"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造粒机</w:t>
                  </w:r>
                </w:p>
              </w:tc>
              <w:tc>
                <w:tcPr>
                  <w:tcW w:w="897" w:type="dxa"/>
                  <w:noWrap w:val="0"/>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2</w:t>
                  </w:r>
                </w:p>
              </w:tc>
              <w:tc>
                <w:tcPr>
                  <w:tcW w:w="784" w:type="dxa"/>
                  <w:vMerge w:val="continue"/>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74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1067" w:type="dxa"/>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56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716" w:type="dxa"/>
                  <w:noWrap w:val="0"/>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80</w:t>
                  </w:r>
                </w:p>
              </w:tc>
              <w:tc>
                <w:tcPr>
                  <w:tcW w:w="594"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668" w:type="dxa"/>
                  <w:vMerge w:val="continue"/>
                  <w:noWrap w:val="0"/>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0" w:type="auto"/>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10</w:t>
                  </w:r>
                </w:p>
              </w:tc>
              <w:tc>
                <w:tcPr>
                  <w:tcW w:w="0" w:type="auto"/>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淋膜机</w:t>
                  </w:r>
                </w:p>
              </w:tc>
              <w:tc>
                <w:tcPr>
                  <w:tcW w:w="0" w:type="auto"/>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2</w:t>
                  </w:r>
                </w:p>
              </w:tc>
              <w:tc>
                <w:tcPr>
                  <w:tcW w:w="784" w:type="dxa"/>
                  <w:vMerge w:val="continue"/>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744" w:type="dxa"/>
                  <w:vMerge w:val="continue"/>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0" w:type="auto"/>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0" w:type="auto"/>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p>
              </w:tc>
              <w:tc>
                <w:tcPr>
                  <w:tcW w:w="594" w:type="dxa"/>
                  <w:vMerge w:val="continue"/>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668" w:type="dxa"/>
                  <w:vMerge w:val="continue"/>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1" w:hRule="atLeast"/>
                <w:jc w:val="center"/>
              </w:trPr>
              <w:tc>
                <w:tcPr>
                  <w:tcW w:w="0" w:type="auto"/>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11</w:t>
                  </w:r>
                </w:p>
              </w:tc>
              <w:tc>
                <w:tcPr>
                  <w:tcW w:w="0" w:type="auto"/>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小样定型烘干机</w:t>
                  </w:r>
                </w:p>
              </w:tc>
              <w:tc>
                <w:tcPr>
                  <w:tcW w:w="0" w:type="auto"/>
                  <w:vAlign w:val="center"/>
                </w:tcPr>
                <w:p>
                  <w:pPr>
                    <w:keepNext w:val="0"/>
                    <w:keepLines w:val="0"/>
                    <w:pageBreakBefore w:val="0"/>
                    <w:widowControl w:val="0"/>
                    <w:kinsoku w:val="0"/>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cs="Times New Roman"/>
                      <w:kern w:val="0"/>
                      <w:sz w:val="21"/>
                      <w:szCs w:val="21"/>
                    </w:rPr>
                    <w:t>1</w:t>
                  </w:r>
                </w:p>
              </w:tc>
              <w:tc>
                <w:tcPr>
                  <w:tcW w:w="784" w:type="dxa"/>
                  <w:vMerge w:val="continue"/>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744" w:type="dxa"/>
                  <w:vMerge w:val="continue"/>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层地面</w:t>
                  </w:r>
                </w:p>
              </w:tc>
              <w:tc>
                <w:tcPr>
                  <w:tcW w:w="0" w:type="auto"/>
                  <w:vAlign w:val="center"/>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0" w:type="auto"/>
                </w:tcPr>
                <w:p>
                  <w:pPr>
                    <w:keepNext w:val="0"/>
                    <w:keepLines w:val="0"/>
                    <w:pageBreakBefore w:val="0"/>
                    <w:shd w:val="clear"/>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-7</w:t>
                  </w:r>
                  <w:r>
                    <w:rPr>
                      <w:rFonts w:hint="default" w:ascii="Times New Roman" w:hAnsi="Times New Roman" w:cs="Times New Roman"/>
                      <w:color w:val="auto"/>
                      <w:sz w:val="21"/>
                      <w:szCs w:val="21"/>
                      <w:highlight w:val="none"/>
                      <w:lang w:val="en-US" w:eastAsia="zh-CN"/>
                    </w:rPr>
                    <w:t>8</w:t>
                  </w:r>
                </w:p>
              </w:tc>
              <w:tc>
                <w:tcPr>
                  <w:tcW w:w="594" w:type="dxa"/>
                  <w:vMerge w:val="continue"/>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c>
                <w:tcPr>
                  <w:tcW w:w="668" w:type="dxa"/>
                  <w:vMerge w:val="continue"/>
                </w:tcPr>
                <w:p>
                  <w:pPr>
                    <w:keepNext w:val="0"/>
                    <w:keepLines w:val="0"/>
                    <w:pageBreakBefore w:val="0"/>
                    <w:widowControl/>
                    <w:shd w:val="clear"/>
                    <w:overflowPunct/>
                    <w:topLinePunct w:val="0"/>
                    <w:autoSpaceDE w:val="0"/>
                    <w:autoSpaceDN w:val="0"/>
                    <w:bidi w:val="0"/>
                    <w:adjustRightInd w:val="0"/>
                    <w:snapToGrid/>
                    <w:spacing w:line="240" w:lineRule="auto"/>
                    <w:ind w:firstLine="0" w:firstLineChars="0"/>
                    <w:jc w:val="left"/>
                    <w:textAlignment w:val="auto"/>
                    <w:rPr>
                      <w:rFonts w:hint="default" w:ascii="Times New Roman" w:hAnsi="Times New Roman" w:cs="Times New Roman"/>
                      <w:color w:val="auto"/>
                      <w:sz w:val="21"/>
                      <w:szCs w:val="21"/>
                      <w:highlight w:val="none"/>
                    </w:rPr>
                  </w:pPr>
                </w:p>
              </w:tc>
            </w:tr>
          </w:tbl>
          <w:p>
            <w:pPr>
              <w:keepNext w:val="0"/>
              <w:keepLines w:val="0"/>
              <w:pageBreakBefore w:val="0"/>
              <w:widowControl w:val="0"/>
              <w:shd w:val="clear"/>
              <w:kinsoku/>
              <w:wordWrap/>
              <w:overflowPunct/>
              <w:topLinePunct w:val="0"/>
              <w:autoSpaceDE w:val="0"/>
              <w:autoSpaceDN w:val="0"/>
              <w:bidi w:val="0"/>
              <w:adjustRightInd w:val="0"/>
              <w:snapToGrid/>
              <w:spacing w:before="164" w:beforeLines="50" w:line="360" w:lineRule="auto"/>
              <w:textAlignment w:val="auto"/>
              <w:rPr>
                <w:rFonts w:hint="eastAsia" w:ascii="Times New Roman" w:hAnsi="Times New Roman"/>
                <w:b/>
                <w:bCs/>
                <w:color w:val="auto"/>
                <w:highlight w:val="none"/>
              </w:rPr>
            </w:pPr>
            <w:r>
              <w:rPr>
                <w:rFonts w:hint="eastAsia" w:ascii="Times New Roman" w:hAnsi="Times New Roman"/>
                <w:b/>
                <w:bCs/>
                <w:color w:val="auto"/>
                <w:highlight w:val="none"/>
              </w:rPr>
              <w:t>固废：</w:t>
            </w:r>
          </w:p>
          <w:p>
            <w:pPr>
              <w:keepNext w:val="0"/>
              <w:keepLines w:val="0"/>
              <w:pageBreakBefore w:val="0"/>
              <w:widowControl w:val="0"/>
              <w:shd w:val="clear"/>
              <w:kinsoku/>
              <w:wordWrap/>
              <w:overflowPunct/>
              <w:topLinePunct w:val="0"/>
              <w:autoSpaceDE w:val="0"/>
              <w:autoSpaceDN w:val="0"/>
              <w:bidi w:val="0"/>
              <w:adjustRightInd w:val="0"/>
              <w:snapToGrid/>
              <w:spacing w:line="360" w:lineRule="auto"/>
              <w:ind w:firstLine="480" w:firstLineChars="200"/>
              <w:textAlignment w:val="auto"/>
              <w:rPr>
                <w:rFonts w:ascii="Times New Roman" w:hAnsi="Times New Roman"/>
                <w:color w:val="auto"/>
                <w:szCs w:val="20"/>
                <w:highlight w:val="none"/>
              </w:rPr>
            </w:pPr>
            <w:r>
              <w:rPr>
                <w:rFonts w:ascii="Times New Roman" w:hAnsi="Times New Roman"/>
                <w:color w:val="auto"/>
                <w:highlight w:val="none"/>
              </w:rPr>
              <w:t>项目产生过程中产生的副产物包括一般</w:t>
            </w:r>
            <w:r>
              <w:rPr>
                <w:rFonts w:ascii="Times New Roman" w:hAnsi="Times New Roman"/>
                <w:color w:val="auto"/>
                <w:szCs w:val="20"/>
                <w:highlight w:val="none"/>
              </w:rPr>
              <w:t>包装材料、</w:t>
            </w:r>
            <w:r>
              <w:rPr>
                <w:rFonts w:hint="eastAsia" w:ascii="Times New Roman" w:hAnsi="Times New Roman"/>
                <w:color w:val="auto"/>
                <w:highlight w:val="none"/>
                <w:lang w:eastAsia="zh-CN"/>
              </w:rPr>
              <w:t>不合格</w:t>
            </w:r>
            <w:r>
              <w:rPr>
                <w:rFonts w:hint="eastAsia" w:ascii="Times New Roman" w:hAnsi="Times New Roman"/>
                <w:color w:val="auto"/>
                <w:szCs w:val="20"/>
                <w:highlight w:val="none"/>
                <w:lang w:eastAsia="zh-CN"/>
              </w:rPr>
              <w:t>样品及边角料、</w:t>
            </w:r>
            <w:r>
              <w:rPr>
                <w:rFonts w:ascii="Times New Roman" w:hAnsi="Times New Roman"/>
                <w:color w:val="auto"/>
                <w:szCs w:val="20"/>
                <w:highlight w:val="none"/>
              </w:rPr>
              <w:t>废抹布、生活垃圾。</w:t>
            </w:r>
          </w:p>
          <w:p>
            <w:pPr>
              <w:shd w:val="clear"/>
              <w:spacing w:line="360" w:lineRule="auto"/>
              <w:ind w:left="480" w:firstLine="0" w:firstLineChars="0"/>
              <w:rPr>
                <w:rFonts w:ascii="Times New Roman" w:hAnsi="Times New Roman"/>
                <w:color w:val="auto"/>
                <w:highlight w:val="none"/>
              </w:rPr>
            </w:pPr>
            <w:r>
              <w:rPr>
                <w:rFonts w:ascii="Times New Roman" w:hAnsi="Times New Roman"/>
                <w:color w:val="auto"/>
                <w:highlight w:val="none"/>
              </w:rPr>
              <w:t>（1）一般包装材料</w:t>
            </w:r>
          </w:p>
          <w:p>
            <w:pPr>
              <w:pStyle w:val="2"/>
              <w:shd w:val="clear"/>
              <w:ind w:firstLine="480"/>
              <w:rPr>
                <w:rFonts w:ascii="Times New Roman" w:hAnsi="Times New Roman"/>
                <w:color w:val="auto"/>
                <w:highlight w:val="none"/>
              </w:rPr>
            </w:pPr>
            <w:r>
              <w:rPr>
                <w:rFonts w:ascii="Times New Roman" w:hAnsi="Times New Roman"/>
                <w:color w:val="auto"/>
                <w:highlight w:val="none"/>
              </w:rPr>
              <w:t>一般包装材料主要指原料使用过程产生的废包装袋、包装纸箱，年产生量约</w:t>
            </w:r>
            <w:r>
              <w:rPr>
                <w:rFonts w:hint="eastAsia" w:ascii="Times New Roman" w:hAnsi="Times New Roman"/>
                <w:color w:val="auto"/>
                <w:highlight w:val="none"/>
                <w:lang w:val="en-US" w:eastAsia="zh-CN"/>
              </w:rPr>
              <w:t>0.05</w:t>
            </w:r>
            <w:r>
              <w:rPr>
                <w:rFonts w:ascii="Times New Roman" w:hAnsi="Times New Roman"/>
                <w:color w:val="auto"/>
                <w:highlight w:val="none"/>
              </w:rPr>
              <w:t>t/a。</w:t>
            </w:r>
          </w:p>
          <w:p>
            <w:pPr>
              <w:shd w:val="clear"/>
              <w:spacing w:line="360" w:lineRule="auto"/>
              <w:ind w:left="480" w:firstLine="0" w:firstLineChars="0"/>
              <w:rPr>
                <w:rFonts w:hint="eastAsia" w:ascii="Times New Roman" w:hAnsi="Times New Roman" w:eastAsia="宋体"/>
                <w:color w:val="auto"/>
                <w:highlight w:val="none"/>
                <w:lang w:eastAsia="zh-CN"/>
              </w:rPr>
            </w:pPr>
            <w:r>
              <w:rPr>
                <w:rFonts w:ascii="Times New Roman" w:hAnsi="Times New Roman"/>
                <w:color w:val="auto"/>
                <w:highlight w:val="none"/>
              </w:rPr>
              <w:t>（2）</w:t>
            </w:r>
            <w:r>
              <w:rPr>
                <w:rFonts w:hint="eastAsia" w:ascii="Times New Roman" w:hAnsi="Times New Roman"/>
                <w:color w:val="auto"/>
                <w:highlight w:val="none"/>
                <w:lang w:eastAsia="zh-CN"/>
              </w:rPr>
              <w:t>不合格样品及边角料</w:t>
            </w:r>
          </w:p>
          <w:p>
            <w:pPr>
              <w:pStyle w:val="3"/>
              <w:keepNext w:val="0"/>
              <w:keepLines w:val="0"/>
              <w:pageBreakBefore w:val="0"/>
              <w:widowControl w:val="0"/>
              <w:shd w:val="clear"/>
              <w:kinsoku/>
              <w:wordWrap/>
              <w:overflowPunct/>
              <w:topLinePunct w:val="0"/>
              <w:autoSpaceDE/>
              <w:autoSpaceDN/>
              <w:bidi w:val="0"/>
              <w:adjustRightInd/>
              <w:snapToGrid/>
              <w:spacing w:before="0" w:after="0" w:line="360" w:lineRule="auto"/>
              <w:jc w:val="both"/>
              <w:textAlignment w:val="auto"/>
              <w:rPr>
                <w:rFonts w:ascii="Times New Roman" w:hAnsi="Times New Roman"/>
                <w:b w:val="0"/>
                <w:bCs w:val="0"/>
                <w:color w:val="auto"/>
                <w:sz w:val="24"/>
                <w:szCs w:val="24"/>
                <w:highlight w:val="none"/>
              </w:rPr>
            </w:pPr>
            <w:r>
              <w:rPr>
                <w:rFonts w:hint="eastAsia" w:ascii="Times New Roman" w:hAnsi="Times New Roman"/>
                <w:b w:val="0"/>
                <w:bCs w:val="0"/>
                <w:color w:val="auto"/>
                <w:sz w:val="24"/>
                <w:szCs w:val="24"/>
                <w:highlight w:val="none"/>
                <w:lang w:eastAsia="zh-CN"/>
              </w:rPr>
              <w:t>类比现有厂区试验过程的不合格样品及边角料产生情况</w:t>
            </w:r>
            <w:r>
              <w:rPr>
                <w:rFonts w:ascii="Times New Roman" w:hAnsi="Times New Roman"/>
                <w:b w:val="0"/>
                <w:bCs w:val="0"/>
                <w:color w:val="auto"/>
                <w:sz w:val="24"/>
                <w:szCs w:val="24"/>
                <w:highlight w:val="none"/>
              </w:rPr>
              <w:t>，</w:t>
            </w:r>
            <w:r>
              <w:rPr>
                <w:rFonts w:hint="eastAsia" w:ascii="Times New Roman" w:hAnsi="Times New Roman"/>
                <w:b w:val="0"/>
                <w:bCs w:val="0"/>
                <w:color w:val="auto"/>
                <w:sz w:val="24"/>
                <w:szCs w:val="24"/>
                <w:highlight w:val="none"/>
                <w:lang w:eastAsia="zh-CN"/>
              </w:rPr>
              <w:t>研发过程的不合格样品产生率高于正常生产过程，产生率约为</w:t>
            </w:r>
            <w:r>
              <w:rPr>
                <w:rFonts w:hint="eastAsia" w:ascii="Times New Roman" w:hAnsi="Times New Roman"/>
                <w:b w:val="0"/>
                <w:bCs w:val="0"/>
                <w:color w:val="auto"/>
                <w:sz w:val="24"/>
                <w:szCs w:val="24"/>
                <w:highlight w:val="none"/>
                <w:lang w:val="en-US" w:eastAsia="zh-CN"/>
              </w:rPr>
              <w:t>30%，结合原料消耗量计算得</w:t>
            </w:r>
            <w:r>
              <w:rPr>
                <w:rFonts w:hint="eastAsia" w:ascii="Times New Roman" w:hAnsi="Times New Roman"/>
                <w:b w:val="0"/>
                <w:bCs w:val="0"/>
                <w:color w:val="auto"/>
                <w:sz w:val="24"/>
                <w:szCs w:val="24"/>
                <w:highlight w:val="none"/>
                <w:lang w:eastAsia="zh-CN"/>
              </w:rPr>
              <w:t>本项目试制及小试过程不合格样品及边角料</w:t>
            </w:r>
            <w:r>
              <w:rPr>
                <w:rFonts w:ascii="Times New Roman" w:hAnsi="Times New Roman"/>
                <w:b w:val="0"/>
                <w:bCs w:val="0"/>
                <w:color w:val="auto"/>
                <w:sz w:val="24"/>
                <w:szCs w:val="24"/>
                <w:highlight w:val="none"/>
              </w:rPr>
              <w:t>年产生量约0.</w:t>
            </w:r>
            <w:r>
              <w:rPr>
                <w:rFonts w:hint="eastAsia" w:ascii="Times New Roman" w:hAnsi="Times New Roman"/>
                <w:b w:val="0"/>
                <w:bCs w:val="0"/>
                <w:color w:val="auto"/>
                <w:sz w:val="24"/>
                <w:szCs w:val="24"/>
                <w:highlight w:val="none"/>
                <w:lang w:val="en-US" w:eastAsia="zh-CN"/>
              </w:rPr>
              <w:t>6</w:t>
            </w:r>
            <w:r>
              <w:rPr>
                <w:rFonts w:ascii="Times New Roman" w:hAnsi="Times New Roman"/>
                <w:b w:val="0"/>
                <w:bCs w:val="0"/>
                <w:color w:val="auto"/>
                <w:sz w:val="24"/>
                <w:szCs w:val="24"/>
                <w:highlight w:val="none"/>
              </w:rPr>
              <w:t>t/a。</w:t>
            </w:r>
          </w:p>
          <w:p>
            <w:pPr>
              <w:keepNext w:val="0"/>
              <w:keepLines w:val="0"/>
              <w:pageBreakBefore w:val="0"/>
              <w:widowControl w:val="0"/>
              <w:shd w:val="clear"/>
              <w:kinsoku/>
              <w:wordWrap/>
              <w:overflowPunct/>
              <w:topLinePunct w:val="0"/>
              <w:autoSpaceDE w:val="0"/>
              <w:autoSpaceDN w:val="0"/>
              <w:bidi w:val="0"/>
              <w:adjustRightInd w:val="0"/>
              <w:snapToGrid/>
              <w:spacing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（3）废抹布</w:t>
            </w:r>
          </w:p>
          <w:p>
            <w:pPr>
              <w:pStyle w:val="3"/>
              <w:keepNext w:val="0"/>
              <w:keepLines w:val="0"/>
              <w:pageBreakBefore w:val="0"/>
              <w:widowControl w:val="0"/>
              <w:shd w:val="clear"/>
              <w:kinsoku/>
              <w:wordWrap/>
              <w:overflowPunct/>
              <w:topLinePunct w:val="0"/>
              <w:autoSpaceDE/>
              <w:autoSpaceDN/>
              <w:bidi w:val="0"/>
              <w:adjustRightInd/>
              <w:snapToGrid/>
              <w:spacing w:before="0" w:after="0" w:line="360" w:lineRule="auto"/>
              <w:ind w:left="0" w:leftChars="0" w:firstLine="480"/>
              <w:jc w:val="both"/>
              <w:textAlignment w:val="auto"/>
              <w:rPr>
                <w:rFonts w:ascii="Times New Roman" w:hAnsi="Times New Roman"/>
                <w:b w:val="0"/>
                <w:bCs w:val="0"/>
                <w:color w:val="auto"/>
                <w:sz w:val="24"/>
                <w:szCs w:val="24"/>
                <w:highlight w:val="none"/>
              </w:rPr>
            </w:pPr>
            <w:r>
              <w:rPr>
                <w:rFonts w:ascii="Times New Roman" w:hAnsi="Times New Roman"/>
                <w:b w:val="0"/>
                <w:bCs w:val="0"/>
                <w:color w:val="auto"/>
                <w:sz w:val="24"/>
                <w:szCs w:val="24"/>
                <w:highlight w:val="none"/>
              </w:rPr>
              <w:t>废抹布</w:t>
            </w:r>
            <w:r>
              <w:rPr>
                <w:rFonts w:hint="eastAsia" w:ascii="Times New Roman" w:hAnsi="Times New Roman"/>
                <w:b w:val="0"/>
                <w:bCs w:val="0"/>
                <w:color w:val="auto"/>
                <w:sz w:val="24"/>
                <w:szCs w:val="24"/>
                <w:highlight w:val="none"/>
                <w:lang w:eastAsia="zh-CN"/>
              </w:rPr>
              <w:t>产生于设备擦拭过程</w:t>
            </w:r>
            <w:r>
              <w:rPr>
                <w:rFonts w:ascii="Times New Roman" w:hAnsi="Times New Roman"/>
                <w:b w:val="0"/>
                <w:bCs w:val="0"/>
                <w:color w:val="auto"/>
                <w:sz w:val="24"/>
                <w:szCs w:val="24"/>
                <w:highlight w:val="none"/>
              </w:rPr>
              <w:t>，</w:t>
            </w:r>
            <w:r>
              <w:rPr>
                <w:rFonts w:hint="eastAsia" w:ascii="Times New Roman" w:hAnsi="Times New Roman"/>
                <w:b w:val="0"/>
                <w:bCs w:val="0"/>
                <w:color w:val="auto"/>
                <w:sz w:val="24"/>
                <w:szCs w:val="24"/>
                <w:highlight w:val="none"/>
                <w:lang w:eastAsia="zh-CN"/>
              </w:rPr>
              <w:t>一般采用抹布蘸乙醇进行擦拭，类比现有项目运行情况</w:t>
            </w:r>
            <w:r>
              <w:rPr>
                <w:rFonts w:ascii="Times New Roman" w:hAnsi="Times New Roman"/>
                <w:b w:val="0"/>
                <w:bCs w:val="0"/>
                <w:color w:val="auto"/>
                <w:sz w:val="24"/>
                <w:szCs w:val="24"/>
                <w:highlight w:val="none"/>
              </w:rPr>
              <w:t>，废抹布产生量约</w:t>
            </w:r>
            <w:r>
              <w:rPr>
                <w:rFonts w:hint="eastAsia" w:ascii="Times New Roman" w:hAnsi="Times New Roman"/>
                <w:b w:val="0"/>
                <w:bCs w:val="0"/>
                <w:color w:val="auto"/>
                <w:sz w:val="24"/>
                <w:szCs w:val="24"/>
                <w:highlight w:val="none"/>
                <w:lang w:val="en-US" w:eastAsia="zh-CN"/>
              </w:rPr>
              <w:t>0.10</w:t>
            </w:r>
            <w:r>
              <w:rPr>
                <w:rFonts w:ascii="Times New Roman" w:hAnsi="Times New Roman"/>
                <w:b w:val="0"/>
                <w:bCs w:val="0"/>
                <w:color w:val="auto"/>
                <w:sz w:val="24"/>
                <w:szCs w:val="24"/>
                <w:highlight w:val="none"/>
              </w:rPr>
              <w:t>t/a。</w:t>
            </w:r>
          </w:p>
          <w:p>
            <w:pPr>
              <w:pStyle w:val="3"/>
              <w:keepNext w:val="0"/>
              <w:keepLines w:val="0"/>
              <w:pageBreakBefore w:val="0"/>
              <w:widowControl w:val="0"/>
              <w:shd w:val="clear"/>
              <w:kinsoku/>
              <w:wordWrap/>
              <w:overflowPunct/>
              <w:topLinePunct w:val="0"/>
              <w:autoSpaceDE/>
              <w:autoSpaceDN/>
              <w:bidi w:val="0"/>
              <w:adjustRightInd/>
              <w:snapToGrid/>
              <w:spacing w:before="0" w:after="0" w:line="360" w:lineRule="auto"/>
              <w:ind w:left="0" w:leftChars="0" w:firstLine="480"/>
              <w:textAlignment w:val="auto"/>
              <w:rPr>
                <w:rFonts w:ascii="Times New Roman" w:hAnsi="Times New Roman"/>
                <w:b w:val="0"/>
                <w:bCs w:val="0"/>
                <w:color w:val="auto"/>
                <w:sz w:val="24"/>
                <w:szCs w:val="24"/>
                <w:highlight w:val="none"/>
              </w:rPr>
            </w:pPr>
            <w:r>
              <w:rPr>
                <w:rFonts w:ascii="Times New Roman" w:hAnsi="Times New Roman"/>
                <w:b w:val="0"/>
                <w:bCs w:val="0"/>
                <w:color w:val="auto"/>
                <w:sz w:val="24"/>
                <w:szCs w:val="24"/>
                <w:highlight w:val="none"/>
              </w:rPr>
              <w:t>（</w:t>
            </w:r>
            <w:r>
              <w:rPr>
                <w:rFonts w:hint="eastAsia" w:ascii="Times New Roman" w:hAnsi="Times New Roman"/>
                <w:b w:val="0"/>
                <w:bCs w:val="0"/>
                <w:color w:val="auto"/>
                <w:sz w:val="24"/>
                <w:szCs w:val="24"/>
                <w:highlight w:val="none"/>
                <w:lang w:val="en-US" w:eastAsia="zh-CN"/>
              </w:rPr>
              <w:t>4</w:t>
            </w:r>
            <w:r>
              <w:rPr>
                <w:rFonts w:ascii="Times New Roman" w:hAnsi="Times New Roman"/>
                <w:b w:val="0"/>
                <w:bCs w:val="0"/>
                <w:color w:val="auto"/>
                <w:sz w:val="24"/>
                <w:szCs w:val="24"/>
                <w:highlight w:val="none"/>
              </w:rPr>
              <w:t>）生活垃圾</w:t>
            </w:r>
          </w:p>
          <w:p>
            <w:pPr>
              <w:pStyle w:val="3"/>
              <w:keepNext w:val="0"/>
              <w:keepLines w:val="0"/>
              <w:pageBreakBefore w:val="0"/>
              <w:widowControl w:val="0"/>
              <w:shd w:val="clear"/>
              <w:kinsoku/>
              <w:wordWrap/>
              <w:overflowPunct/>
              <w:topLinePunct w:val="0"/>
              <w:autoSpaceDE/>
              <w:autoSpaceDN/>
              <w:bidi w:val="0"/>
              <w:adjustRightInd/>
              <w:snapToGrid/>
              <w:spacing w:before="0" w:after="0" w:line="360" w:lineRule="auto"/>
              <w:ind w:left="0" w:leftChars="0" w:firstLine="480"/>
              <w:textAlignment w:val="auto"/>
              <w:rPr>
                <w:rFonts w:ascii="Times New Roman" w:hAnsi="Times New Roman"/>
                <w:b w:val="0"/>
                <w:bCs w:val="0"/>
                <w:color w:val="auto"/>
                <w:sz w:val="24"/>
                <w:szCs w:val="24"/>
                <w:highlight w:val="none"/>
              </w:rPr>
            </w:pPr>
            <w:r>
              <w:rPr>
                <w:rFonts w:ascii="Times New Roman" w:hAnsi="Times New Roman"/>
                <w:b w:val="0"/>
                <w:bCs w:val="0"/>
                <w:color w:val="auto"/>
                <w:sz w:val="24"/>
                <w:szCs w:val="24"/>
                <w:highlight w:val="none"/>
              </w:rPr>
              <w:t>项目定员</w:t>
            </w:r>
            <w:r>
              <w:rPr>
                <w:rFonts w:hint="eastAsia" w:ascii="Times New Roman" w:hAnsi="Times New Roman"/>
                <w:b w:val="0"/>
                <w:bCs w:val="0"/>
                <w:color w:val="auto"/>
                <w:sz w:val="24"/>
                <w:szCs w:val="24"/>
                <w:highlight w:val="none"/>
                <w:lang w:val="en-US" w:eastAsia="zh-CN"/>
              </w:rPr>
              <w:t>1</w:t>
            </w:r>
            <w:r>
              <w:rPr>
                <w:rFonts w:ascii="Times New Roman" w:hAnsi="Times New Roman"/>
                <w:b w:val="0"/>
                <w:bCs w:val="0"/>
                <w:color w:val="auto"/>
                <w:sz w:val="24"/>
                <w:szCs w:val="24"/>
                <w:highlight w:val="none"/>
              </w:rPr>
              <w:t>0人，生活垃圾产生量按0.5kg/人·d计算，则年产生活垃圾</w:t>
            </w:r>
            <w:r>
              <w:rPr>
                <w:rFonts w:hint="eastAsia" w:ascii="Times New Roman" w:hAnsi="Times New Roman"/>
                <w:b w:val="0"/>
                <w:bCs w:val="0"/>
                <w:color w:val="auto"/>
                <w:sz w:val="24"/>
                <w:szCs w:val="24"/>
                <w:highlight w:val="none"/>
                <w:lang w:val="en-US" w:eastAsia="zh-CN"/>
              </w:rPr>
              <w:t>1.5</w:t>
            </w:r>
            <w:r>
              <w:rPr>
                <w:rFonts w:ascii="Times New Roman" w:hAnsi="Times New Roman"/>
                <w:b w:val="0"/>
                <w:bCs w:val="0"/>
                <w:color w:val="auto"/>
                <w:sz w:val="24"/>
                <w:szCs w:val="24"/>
                <w:highlight w:val="none"/>
              </w:rPr>
              <w:t>t/a。</w:t>
            </w:r>
          </w:p>
          <w:p>
            <w:pPr>
              <w:keepNext w:val="0"/>
              <w:keepLines w:val="0"/>
              <w:pageBreakBefore w:val="0"/>
              <w:widowControl/>
              <w:numPr>
                <w:ilvl w:val="0"/>
                <w:numId w:val="7"/>
              </w:numPr>
              <w:shd w:val="clear"/>
              <w:kinsoku/>
              <w:wordWrap/>
              <w:overflowPunct/>
              <w:topLinePunct w:val="0"/>
              <w:autoSpaceDE w:val="0"/>
              <w:autoSpaceDN w:val="0"/>
              <w:bidi w:val="0"/>
              <w:adjustRightInd w:val="0"/>
              <w:snapToGrid/>
              <w:spacing w:line="360" w:lineRule="auto"/>
              <w:ind w:firstLine="480" w:firstLineChars="200"/>
              <w:jc w:val="left"/>
              <w:textAlignment w:val="auto"/>
              <w:rPr>
                <w:rFonts w:ascii="Times New Roman" w:hAnsi="Times New Roman"/>
                <w:color w:val="auto"/>
                <w:szCs w:val="20"/>
                <w:highlight w:val="none"/>
              </w:rPr>
            </w:pPr>
            <w:r>
              <w:rPr>
                <w:rFonts w:ascii="Times New Roman" w:hAnsi="Times New Roman"/>
                <w:color w:val="auto"/>
                <w:szCs w:val="20"/>
                <w:highlight w:val="none"/>
              </w:rPr>
              <w:t>项目主要副产物产生情况见下表。</w:t>
            </w:r>
          </w:p>
          <w:p>
            <w:pPr>
              <w:pStyle w:val="2"/>
              <w:rPr>
                <w:rFonts w:ascii="Times New Roman" w:hAnsi="Times New Roman"/>
                <w:color w:val="auto"/>
                <w:szCs w:val="20"/>
                <w:highlight w:val="none"/>
              </w:rPr>
            </w:pPr>
          </w:p>
          <w:p>
            <w:pPr>
              <w:shd w:val="clear"/>
              <w:adjustRightInd w:val="0"/>
              <w:spacing w:line="240" w:lineRule="auto"/>
              <w:ind w:firstLine="422"/>
              <w:jc w:val="center"/>
              <w:rPr>
                <w:rFonts w:ascii="Times New Roman" w:hAnsi="Times New Roman"/>
                <w:b/>
                <w:color w:val="auto"/>
                <w:sz w:val="24"/>
                <w:szCs w:val="24"/>
                <w:highlight w:val="none"/>
              </w:rPr>
            </w:pPr>
          </w:p>
          <w:p>
            <w:pPr>
              <w:shd w:val="clear"/>
              <w:adjustRightInd w:val="0"/>
              <w:spacing w:line="240" w:lineRule="auto"/>
              <w:ind w:firstLine="422"/>
              <w:jc w:val="center"/>
              <w:rPr>
                <w:rFonts w:ascii="Times New Roman" w:hAnsi="Times New Roman"/>
                <w:b/>
                <w:color w:val="auto"/>
                <w:sz w:val="24"/>
                <w:szCs w:val="24"/>
                <w:highlight w:val="none"/>
              </w:rPr>
            </w:pPr>
            <w:r>
              <w:rPr>
                <w:rFonts w:ascii="Times New Roman" w:hAnsi="Times New Roman"/>
                <w:b/>
                <w:color w:val="auto"/>
                <w:sz w:val="24"/>
                <w:szCs w:val="24"/>
                <w:highlight w:val="none"/>
              </w:rPr>
              <w:t>表</w:t>
            </w:r>
            <w:r>
              <w:rPr>
                <w:rFonts w:hint="eastAsia" w:ascii="Times New Roman" w:hAnsi="Times New Roman"/>
                <w:b/>
                <w:color w:val="auto"/>
                <w:sz w:val="24"/>
                <w:szCs w:val="24"/>
                <w:highlight w:val="none"/>
                <w:lang w:val="en-US" w:eastAsia="zh-CN"/>
              </w:rPr>
              <w:t>10</w:t>
            </w:r>
            <w:r>
              <w:rPr>
                <w:rFonts w:ascii="Times New Roman" w:hAnsi="Times New Roman"/>
                <w:b/>
                <w:color w:val="auto"/>
                <w:sz w:val="24"/>
                <w:szCs w:val="24"/>
                <w:highlight w:val="none"/>
              </w:rPr>
              <w:t xml:space="preserve">  副产物产生情况汇总表</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1980"/>
              <w:gridCol w:w="1436"/>
              <w:gridCol w:w="836"/>
              <w:gridCol w:w="1766"/>
              <w:gridCol w:w="15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7"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序号</w:t>
                  </w:r>
                </w:p>
              </w:tc>
              <w:tc>
                <w:tcPr>
                  <w:tcW w:w="1980"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hint="eastAsia" w:ascii="Times New Roman" w:hAnsi="Times New Roman"/>
                      <w:color w:val="auto"/>
                      <w:kern w:val="0"/>
                      <w:sz w:val="21"/>
                      <w:szCs w:val="21"/>
                      <w:highlight w:val="none"/>
                    </w:rPr>
                    <w:t>副产物</w:t>
                  </w:r>
                  <w:r>
                    <w:rPr>
                      <w:rFonts w:ascii="Times New Roman" w:hAnsi="Times New Roman"/>
                      <w:color w:val="auto"/>
                      <w:kern w:val="0"/>
                      <w:sz w:val="21"/>
                      <w:szCs w:val="21"/>
                      <w:highlight w:val="none"/>
                    </w:rPr>
                    <w:t>名称</w:t>
                  </w:r>
                </w:p>
              </w:tc>
              <w:tc>
                <w:tcPr>
                  <w:tcW w:w="1436"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产生工序</w:t>
                  </w:r>
                </w:p>
              </w:tc>
              <w:tc>
                <w:tcPr>
                  <w:tcW w:w="836"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形态</w:t>
                  </w:r>
                </w:p>
              </w:tc>
              <w:tc>
                <w:tcPr>
                  <w:tcW w:w="1766"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主要成分</w:t>
                  </w:r>
                </w:p>
              </w:tc>
              <w:tc>
                <w:tcPr>
                  <w:tcW w:w="1550"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预测产生量t/a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727"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w:t>
                  </w:r>
                </w:p>
              </w:tc>
              <w:tc>
                <w:tcPr>
                  <w:tcW w:w="1980"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color w:val="auto"/>
                      <w:kern w:val="0"/>
                      <w:sz w:val="21"/>
                      <w:szCs w:val="21"/>
                      <w:highlight w:val="none"/>
                    </w:rPr>
                  </w:pPr>
                  <w:r>
                    <w:rPr>
                      <w:rFonts w:ascii="Times New Roman" w:hAnsi="Times New Roman"/>
                      <w:color w:val="auto"/>
                      <w:sz w:val="21"/>
                      <w:szCs w:val="21"/>
                      <w:highlight w:val="none"/>
                    </w:rPr>
                    <w:t>一般包装材料</w:t>
                  </w:r>
                </w:p>
              </w:tc>
              <w:tc>
                <w:tcPr>
                  <w:tcW w:w="1436" w:type="dxa"/>
                  <w:noWrap w:val="0"/>
                  <w:vAlign w:val="center"/>
                </w:tcPr>
                <w:p>
                  <w:pPr>
                    <w:shd w:val="clear"/>
                    <w:adjustRightInd w:val="0"/>
                    <w:snapToGrid w:val="0"/>
                    <w:spacing w:line="240" w:lineRule="auto"/>
                    <w:ind w:left="-110" w:leftChars="-46" w:right="-122" w:rightChars="-51" w:firstLine="0" w:firstLineChars="0"/>
                    <w:jc w:val="center"/>
                    <w:rPr>
                      <w:rFonts w:hint="eastAsia" w:ascii="Times New Roman" w:hAnsi="Times New Roman" w:eastAsia="宋体"/>
                      <w:color w:val="auto"/>
                      <w:kern w:val="0"/>
                      <w:sz w:val="21"/>
                      <w:szCs w:val="21"/>
                      <w:highlight w:val="none"/>
                      <w:lang w:eastAsia="zh-CN"/>
                    </w:rPr>
                  </w:pPr>
                  <w:r>
                    <w:rPr>
                      <w:rFonts w:hint="eastAsia" w:ascii="Times New Roman" w:hAnsi="Times New Roman"/>
                      <w:color w:val="auto"/>
                      <w:sz w:val="21"/>
                      <w:szCs w:val="21"/>
                      <w:highlight w:val="none"/>
                      <w:lang w:eastAsia="zh-CN"/>
                    </w:rPr>
                    <w:t>原材料使用</w:t>
                  </w:r>
                </w:p>
              </w:tc>
              <w:tc>
                <w:tcPr>
                  <w:tcW w:w="836" w:type="dxa"/>
                  <w:noWrap w:val="0"/>
                  <w:vAlign w:val="center"/>
                </w:tcPr>
                <w:p>
                  <w:pPr>
                    <w:shd w:val="clear"/>
                    <w:spacing w:line="240" w:lineRule="auto"/>
                    <w:ind w:left="-113" w:leftChars="-47" w:right="-120" w:rightChars="-50" w:firstLine="16" w:firstLineChars="8"/>
                    <w:jc w:val="center"/>
                    <w:rPr>
                      <w:rFonts w:ascii="Times New Roman" w:hAnsi="Times New Roman"/>
                      <w:color w:val="auto"/>
                      <w:kern w:val="0"/>
                      <w:sz w:val="21"/>
                      <w:szCs w:val="21"/>
                      <w:highlight w:val="none"/>
                    </w:rPr>
                  </w:pPr>
                  <w:r>
                    <w:rPr>
                      <w:rFonts w:ascii="Times New Roman" w:hAnsi="Times New Roman"/>
                      <w:color w:val="auto"/>
                      <w:sz w:val="21"/>
                      <w:szCs w:val="21"/>
                      <w:highlight w:val="none"/>
                    </w:rPr>
                    <w:t>固态</w:t>
                  </w:r>
                </w:p>
              </w:tc>
              <w:tc>
                <w:tcPr>
                  <w:tcW w:w="1766" w:type="dxa"/>
                  <w:noWrap w:val="0"/>
                  <w:vAlign w:val="center"/>
                </w:tcPr>
                <w:p>
                  <w:pPr>
                    <w:shd w:val="clear"/>
                    <w:spacing w:line="240" w:lineRule="auto"/>
                    <w:ind w:right="36" w:rightChars="15" w:firstLine="16" w:firstLineChars="8"/>
                    <w:jc w:val="center"/>
                    <w:rPr>
                      <w:rFonts w:ascii="Times New Roman" w:hAnsi="Times New Roman"/>
                      <w:color w:val="auto"/>
                      <w:kern w:val="0"/>
                      <w:sz w:val="21"/>
                      <w:szCs w:val="21"/>
                      <w:highlight w:val="none"/>
                    </w:rPr>
                  </w:pPr>
                  <w:r>
                    <w:rPr>
                      <w:rFonts w:ascii="Times New Roman" w:hAnsi="Times New Roman"/>
                      <w:color w:val="auto"/>
                      <w:sz w:val="21"/>
                      <w:szCs w:val="21"/>
                      <w:highlight w:val="none"/>
                    </w:rPr>
                    <w:t>塑料、纸张等</w:t>
                  </w:r>
                </w:p>
              </w:tc>
              <w:tc>
                <w:tcPr>
                  <w:tcW w:w="1550" w:type="dxa"/>
                  <w:noWrap w:val="0"/>
                  <w:vAlign w:val="center"/>
                </w:tcPr>
                <w:p>
                  <w:pPr>
                    <w:widowControl/>
                    <w:shd w:val="clear"/>
                    <w:spacing w:line="240" w:lineRule="auto"/>
                    <w:ind w:firstLine="0" w:firstLineChars="0"/>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7"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w:t>
                  </w:r>
                </w:p>
              </w:tc>
              <w:tc>
                <w:tcPr>
                  <w:tcW w:w="1980"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color w:val="auto"/>
                      <w:kern w:val="0"/>
                      <w:sz w:val="21"/>
                      <w:szCs w:val="21"/>
                      <w:highlight w:val="none"/>
                    </w:rPr>
                  </w:pPr>
                  <w:r>
                    <w:rPr>
                      <w:rFonts w:hint="eastAsia" w:ascii="Times New Roman" w:hAnsi="Times New Roman"/>
                      <w:color w:val="auto"/>
                      <w:kern w:val="0"/>
                      <w:sz w:val="21"/>
                      <w:szCs w:val="21"/>
                      <w:highlight w:val="none"/>
                      <w:lang w:eastAsia="zh-CN"/>
                    </w:rPr>
                    <w:t>不合格样品及边角料</w:t>
                  </w:r>
                </w:p>
              </w:tc>
              <w:tc>
                <w:tcPr>
                  <w:tcW w:w="1436" w:type="dxa"/>
                  <w:noWrap w:val="0"/>
                  <w:vAlign w:val="center"/>
                </w:tcPr>
                <w:p>
                  <w:pPr>
                    <w:shd w:val="clear"/>
                    <w:adjustRightInd w:val="0"/>
                    <w:snapToGrid w:val="0"/>
                    <w:spacing w:line="240" w:lineRule="auto"/>
                    <w:ind w:right="113" w:rightChars="47" w:firstLine="0" w:firstLineChars="0"/>
                    <w:jc w:val="center"/>
                    <w:rPr>
                      <w:rFonts w:hint="eastAsia" w:ascii="Times New Roman" w:hAnsi="Times New Roman" w:eastAsia="宋体"/>
                      <w:color w:val="auto"/>
                      <w:kern w:val="0"/>
                      <w:sz w:val="21"/>
                      <w:szCs w:val="21"/>
                      <w:highlight w:val="none"/>
                      <w:lang w:eastAsia="zh-CN"/>
                    </w:rPr>
                  </w:pPr>
                  <w:r>
                    <w:rPr>
                      <w:rFonts w:hint="eastAsia" w:ascii="Times New Roman" w:hAnsi="Times New Roman"/>
                      <w:color w:val="auto"/>
                      <w:kern w:val="0"/>
                      <w:sz w:val="21"/>
                      <w:szCs w:val="21"/>
                      <w:highlight w:val="none"/>
                      <w:lang w:eastAsia="zh-CN"/>
                    </w:rPr>
                    <w:t>试制及小试</w:t>
                  </w:r>
                </w:p>
              </w:tc>
              <w:tc>
                <w:tcPr>
                  <w:tcW w:w="836" w:type="dxa"/>
                  <w:noWrap w:val="0"/>
                  <w:vAlign w:val="center"/>
                </w:tcPr>
                <w:p>
                  <w:pPr>
                    <w:shd w:val="clear"/>
                    <w:spacing w:line="240" w:lineRule="auto"/>
                    <w:ind w:left="-113" w:leftChars="-47" w:right="-120" w:rightChars="-50" w:firstLine="16" w:firstLineChars="8"/>
                    <w:jc w:val="center"/>
                    <w:rPr>
                      <w:rFonts w:ascii="Times New Roman" w:hAnsi="Times New Roman"/>
                      <w:color w:val="auto"/>
                      <w:kern w:val="0"/>
                      <w:sz w:val="21"/>
                      <w:szCs w:val="21"/>
                      <w:highlight w:val="none"/>
                    </w:rPr>
                  </w:pPr>
                  <w:r>
                    <w:rPr>
                      <w:rFonts w:ascii="Times New Roman" w:hAnsi="Times New Roman"/>
                      <w:color w:val="auto"/>
                      <w:sz w:val="21"/>
                      <w:szCs w:val="21"/>
                      <w:highlight w:val="none"/>
                    </w:rPr>
                    <w:t>固态</w:t>
                  </w:r>
                </w:p>
              </w:tc>
              <w:tc>
                <w:tcPr>
                  <w:tcW w:w="1766" w:type="dxa"/>
                  <w:noWrap w:val="0"/>
                  <w:vAlign w:val="center"/>
                </w:tcPr>
                <w:p>
                  <w:pPr>
                    <w:shd w:val="clear"/>
                    <w:spacing w:line="240" w:lineRule="auto"/>
                    <w:ind w:left="-26" w:leftChars="-11" w:right="-26" w:rightChars="-11" w:firstLine="16" w:firstLineChars="8"/>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sz w:val="21"/>
                      <w:szCs w:val="21"/>
                      <w:highlight w:val="none"/>
                      <w:lang w:val="en-US" w:eastAsia="zh-CN"/>
                    </w:rPr>
                    <w:t>PVC、DOTP等</w:t>
                  </w:r>
                </w:p>
              </w:tc>
              <w:tc>
                <w:tcPr>
                  <w:tcW w:w="1550" w:type="dxa"/>
                  <w:noWrap w:val="0"/>
                  <w:vAlign w:val="center"/>
                </w:tcPr>
                <w:p>
                  <w:pPr>
                    <w:widowControl/>
                    <w:shd w:val="clear"/>
                    <w:spacing w:line="240" w:lineRule="auto"/>
                    <w:ind w:firstLine="0" w:firstLineChars="0"/>
                    <w:jc w:val="center"/>
                    <w:rPr>
                      <w:rFonts w:hint="default" w:ascii="Times New Roman" w:hAnsi="Times New Roman" w:eastAsia="宋体"/>
                      <w:color w:val="auto"/>
                      <w:kern w:val="0"/>
                      <w:sz w:val="21"/>
                      <w:szCs w:val="21"/>
                      <w:highlight w:val="none"/>
                      <w:lang w:val="en-US" w:eastAsia="zh-CN"/>
                    </w:rPr>
                  </w:pPr>
                  <w:r>
                    <w:rPr>
                      <w:rFonts w:ascii="Times New Roman" w:hAnsi="Times New Roman"/>
                      <w:color w:val="auto"/>
                      <w:kern w:val="0"/>
                      <w:sz w:val="21"/>
                      <w:szCs w:val="21"/>
                      <w:highlight w:val="none"/>
                    </w:rPr>
                    <w:t>0.</w:t>
                  </w:r>
                  <w:r>
                    <w:rPr>
                      <w:rFonts w:hint="eastAsia" w:ascii="Times New Roman" w:hAnsi="Times New Roman"/>
                      <w:color w:val="auto"/>
                      <w:kern w:val="0"/>
                      <w:sz w:val="21"/>
                      <w:szCs w:val="21"/>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7"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w:t>
                  </w:r>
                </w:p>
              </w:tc>
              <w:tc>
                <w:tcPr>
                  <w:tcW w:w="1980"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废抹布</w:t>
                  </w:r>
                </w:p>
              </w:tc>
              <w:tc>
                <w:tcPr>
                  <w:tcW w:w="1436"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color w:val="auto"/>
                      <w:kern w:val="0"/>
                      <w:sz w:val="21"/>
                      <w:szCs w:val="21"/>
                      <w:highlight w:val="none"/>
                    </w:rPr>
                  </w:pPr>
                  <w:r>
                    <w:rPr>
                      <w:rFonts w:hint="eastAsia" w:ascii="Times New Roman" w:hAnsi="Times New Roman"/>
                      <w:color w:val="auto"/>
                      <w:kern w:val="0"/>
                      <w:sz w:val="21"/>
                      <w:szCs w:val="21"/>
                      <w:highlight w:val="none"/>
                      <w:lang w:eastAsia="zh-CN"/>
                    </w:rPr>
                    <w:t>设备</w:t>
                  </w:r>
                  <w:r>
                    <w:rPr>
                      <w:rFonts w:ascii="Times New Roman" w:hAnsi="Times New Roman"/>
                      <w:color w:val="auto"/>
                      <w:kern w:val="0"/>
                      <w:sz w:val="21"/>
                      <w:szCs w:val="21"/>
                      <w:highlight w:val="none"/>
                    </w:rPr>
                    <w:t>擦拭</w:t>
                  </w:r>
                </w:p>
              </w:tc>
              <w:tc>
                <w:tcPr>
                  <w:tcW w:w="836" w:type="dxa"/>
                  <w:noWrap w:val="0"/>
                  <w:vAlign w:val="center"/>
                </w:tcPr>
                <w:p>
                  <w:pPr>
                    <w:shd w:val="clear"/>
                    <w:spacing w:line="240" w:lineRule="auto"/>
                    <w:ind w:left="-113" w:leftChars="-47" w:right="-120" w:rightChars="-50" w:firstLine="16" w:firstLineChars="8"/>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固态</w:t>
                  </w:r>
                </w:p>
              </w:tc>
              <w:tc>
                <w:tcPr>
                  <w:tcW w:w="1766" w:type="dxa"/>
                  <w:noWrap w:val="0"/>
                  <w:vAlign w:val="center"/>
                </w:tcPr>
                <w:p>
                  <w:pPr>
                    <w:shd w:val="clear"/>
                    <w:spacing w:line="240" w:lineRule="auto"/>
                    <w:ind w:left="-113" w:leftChars="-47" w:right="-120" w:rightChars="-50" w:firstLine="16" w:firstLineChars="8"/>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有机溶剂、布等</w:t>
                  </w:r>
                </w:p>
              </w:tc>
              <w:tc>
                <w:tcPr>
                  <w:tcW w:w="1550" w:type="dxa"/>
                  <w:noWrap w:val="0"/>
                  <w:vAlign w:val="center"/>
                </w:tcPr>
                <w:p>
                  <w:pPr>
                    <w:widowControl/>
                    <w:shd w:val="clear"/>
                    <w:spacing w:line="240" w:lineRule="auto"/>
                    <w:ind w:firstLine="0" w:firstLineChars="0"/>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27"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w:t>
                  </w:r>
                </w:p>
              </w:tc>
              <w:tc>
                <w:tcPr>
                  <w:tcW w:w="1980"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生活垃圾</w:t>
                  </w:r>
                </w:p>
              </w:tc>
              <w:tc>
                <w:tcPr>
                  <w:tcW w:w="1436" w:type="dxa"/>
                  <w:noWrap w:val="0"/>
                  <w:vAlign w:val="center"/>
                </w:tcPr>
                <w:p>
                  <w:pPr>
                    <w:shd w:val="clear"/>
                    <w:adjustRightInd w:val="0"/>
                    <w:snapToGrid w:val="0"/>
                    <w:spacing w:line="240" w:lineRule="auto"/>
                    <w:ind w:left="-110" w:leftChars="-46" w:right="-122" w:rightChars="-51" w:firstLine="0" w:firstLineChars="0"/>
                    <w:jc w:val="center"/>
                    <w:rPr>
                      <w:rFonts w:hint="eastAsia" w:ascii="Times New Roman" w:hAnsi="Times New Roman" w:eastAsia="宋体"/>
                      <w:color w:val="auto"/>
                      <w:kern w:val="0"/>
                      <w:sz w:val="21"/>
                      <w:szCs w:val="21"/>
                      <w:highlight w:val="none"/>
                      <w:lang w:eastAsia="zh-CN"/>
                    </w:rPr>
                  </w:pPr>
                  <w:r>
                    <w:rPr>
                      <w:rFonts w:hint="eastAsia" w:ascii="Times New Roman" w:hAnsi="Times New Roman"/>
                      <w:color w:val="auto"/>
                      <w:kern w:val="0"/>
                      <w:sz w:val="21"/>
                      <w:szCs w:val="21"/>
                      <w:highlight w:val="none"/>
                      <w:lang w:eastAsia="zh-CN"/>
                    </w:rPr>
                    <w:t>办公生活</w:t>
                  </w:r>
                </w:p>
              </w:tc>
              <w:tc>
                <w:tcPr>
                  <w:tcW w:w="836" w:type="dxa"/>
                  <w:noWrap w:val="0"/>
                  <w:vAlign w:val="center"/>
                </w:tcPr>
                <w:p>
                  <w:pPr>
                    <w:shd w:val="clear"/>
                    <w:spacing w:line="240" w:lineRule="auto"/>
                    <w:ind w:left="-113" w:leftChars="-47" w:right="-120" w:rightChars="-50" w:firstLine="16" w:firstLineChars="8"/>
                    <w:jc w:val="center"/>
                    <w:rPr>
                      <w:rFonts w:ascii="Times New Roman" w:hAnsi="Times New Roman"/>
                      <w:color w:val="auto"/>
                      <w:kern w:val="0"/>
                      <w:sz w:val="21"/>
                      <w:szCs w:val="21"/>
                      <w:highlight w:val="none"/>
                    </w:rPr>
                  </w:pPr>
                  <w:r>
                    <w:rPr>
                      <w:rFonts w:ascii="Times New Roman" w:hAnsi="Times New Roman"/>
                      <w:color w:val="auto"/>
                      <w:sz w:val="21"/>
                      <w:szCs w:val="21"/>
                      <w:highlight w:val="none"/>
                    </w:rPr>
                    <w:t>固态</w:t>
                  </w:r>
                </w:p>
              </w:tc>
              <w:tc>
                <w:tcPr>
                  <w:tcW w:w="1766" w:type="dxa"/>
                  <w:noWrap w:val="0"/>
                  <w:vAlign w:val="center"/>
                </w:tcPr>
                <w:p>
                  <w:pPr>
                    <w:shd w:val="clear"/>
                    <w:spacing w:line="240" w:lineRule="auto"/>
                    <w:ind w:left="-113" w:leftChars="-47" w:right="-120" w:rightChars="-50" w:firstLine="16" w:firstLineChars="8"/>
                    <w:jc w:val="center"/>
                    <w:rPr>
                      <w:rFonts w:ascii="Times New Roman" w:hAnsi="Times New Roman"/>
                      <w:color w:val="auto"/>
                      <w:kern w:val="0"/>
                      <w:sz w:val="21"/>
                      <w:szCs w:val="21"/>
                      <w:highlight w:val="none"/>
                    </w:rPr>
                  </w:pPr>
                  <w:r>
                    <w:rPr>
                      <w:rFonts w:hint="eastAsia" w:ascii="Times New Roman" w:hAnsi="Times New Roman"/>
                      <w:color w:val="auto"/>
                      <w:kern w:val="0"/>
                      <w:sz w:val="21"/>
                      <w:szCs w:val="21"/>
                      <w:highlight w:val="none"/>
                    </w:rPr>
                    <w:t>废纸屑等</w:t>
                  </w:r>
                </w:p>
              </w:tc>
              <w:tc>
                <w:tcPr>
                  <w:tcW w:w="1550" w:type="dxa"/>
                  <w:noWrap w:val="0"/>
                  <w:vAlign w:val="center"/>
                </w:tcPr>
                <w:p>
                  <w:pPr>
                    <w:widowControl/>
                    <w:shd w:val="clear"/>
                    <w:spacing w:line="240" w:lineRule="auto"/>
                    <w:ind w:firstLine="0" w:firstLineChars="0"/>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1.50</w:t>
                  </w:r>
                </w:p>
              </w:tc>
            </w:tr>
          </w:tbl>
          <w:p>
            <w:pPr>
              <w:keepNext w:val="0"/>
              <w:keepLines w:val="0"/>
              <w:pageBreakBefore w:val="0"/>
              <w:widowControl w:val="0"/>
              <w:numPr>
                <w:ilvl w:val="0"/>
                <w:numId w:val="7"/>
              </w:numPr>
              <w:shd w:val="clear"/>
              <w:kinsoku/>
              <w:wordWrap/>
              <w:overflowPunct/>
              <w:topLinePunct w:val="0"/>
              <w:autoSpaceDE w:val="0"/>
              <w:autoSpaceDN w:val="0"/>
              <w:bidi w:val="0"/>
              <w:adjustRightInd w:val="0"/>
              <w:snapToGrid/>
              <w:spacing w:before="164" w:beforeLines="50"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项目副产物属性判定</w:t>
            </w:r>
          </w:p>
          <w:p>
            <w:pPr>
              <w:keepNext w:val="0"/>
              <w:keepLines w:val="0"/>
              <w:pageBreakBefore w:val="0"/>
              <w:widowControl w:val="0"/>
              <w:shd w:val="clear"/>
              <w:kinsoku/>
              <w:wordWrap/>
              <w:overflowPunct/>
              <w:topLinePunct w:val="0"/>
              <w:autoSpaceDE w:val="0"/>
              <w:autoSpaceDN w:val="0"/>
              <w:bidi w:val="0"/>
              <w:adjustRightInd w:val="0"/>
              <w:snapToGrid/>
              <w:spacing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项目副产物属性判定具体见下表。</w:t>
            </w:r>
          </w:p>
          <w:p>
            <w:pPr>
              <w:shd w:val="clear"/>
              <w:adjustRightInd w:val="0"/>
              <w:spacing w:line="240" w:lineRule="auto"/>
              <w:ind w:firstLine="422"/>
              <w:jc w:val="center"/>
              <w:rPr>
                <w:rFonts w:ascii="Times New Roman" w:hAnsi="Times New Roman"/>
                <w:b/>
                <w:color w:val="auto"/>
                <w:sz w:val="24"/>
                <w:szCs w:val="24"/>
                <w:highlight w:val="none"/>
              </w:rPr>
            </w:pPr>
            <w:r>
              <w:rPr>
                <w:rFonts w:ascii="Times New Roman" w:hAnsi="Times New Roman"/>
                <w:b/>
                <w:color w:val="auto"/>
                <w:sz w:val="24"/>
                <w:szCs w:val="24"/>
                <w:highlight w:val="none"/>
              </w:rPr>
              <w:t>表</w:t>
            </w:r>
            <w:r>
              <w:rPr>
                <w:rFonts w:hint="eastAsia" w:ascii="Times New Roman" w:hAnsi="Times New Roman"/>
                <w:b/>
                <w:color w:val="auto"/>
                <w:sz w:val="24"/>
                <w:szCs w:val="24"/>
                <w:highlight w:val="none"/>
                <w:lang w:val="en-US" w:eastAsia="zh-CN"/>
              </w:rPr>
              <w:t xml:space="preserve">11  </w:t>
            </w:r>
            <w:r>
              <w:rPr>
                <w:rFonts w:ascii="Times New Roman" w:hAnsi="Times New Roman"/>
                <w:b/>
                <w:color w:val="auto"/>
                <w:sz w:val="24"/>
                <w:szCs w:val="24"/>
                <w:highlight w:val="none"/>
              </w:rPr>
              <w:t>项目固废属性判定表</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915"/>
              <w:gridCol w:w="1431"/>
              <w:gridCol w:w="732"/>
              <w:gridCol w:w="1812"/>
              <w:gridCol w:w="1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3"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序号</w:t>
                  </w:r>
                </w:p>
              </w:tc>
              <w:tc>
                <w:tcPr>
                  <w:tcW w:w="1915"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hint="eastAsia" w:ascii="Times New Roman" w:hAnsi="Times New Roman"/>
                      <w:color w:val="auto"/>
                      <w:kern w:val="0"/>
                      <w:sz w:val="21"/>
                      <w:szCs w:val="21"/>
                      <w:highlight w:val="none"/>
                    </w:rPr>
                    <w:t>副产物</w:t>
                  </w:r>
                  <w:r>
                    <w:rPr>
                      <w:rFonts w:ascii="Times New Roman" w:hAnsi="Times New Roman"/>
                      <w:color w:val="auto"/>
                      <w:kern w:val="0"/>
                      <w:sz w:val="21"/>
                      <w:szCs w:val="21"/>
                      <w:highlight w:val="none"/>
                    </w:rPr>
                    <w:t>名称</w:t>
                  </w:r>
                </w:p>
              </w:tc>
              <w:tc>
                <w:tcPr>
                  <w:tcW w:w="1431"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产生工序</w:t>
                  </w:r>
                </w:p>
              </w:tc>
              <w:tc>
                <w:tcPr>
                  <w:tcW w:w="732"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形态</w:t>
                  </w:r>
                </w:p>
              </w:tc>
              <w:tc>
                <w:tcPr>
                  <w:tcW w:w="1812"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是否属固体废物</w:t>
                  </w:r>
                </w:p>
              </w:tc>
              <w:tc>
                <w:tcPr>
                  <w:tcW w:w="1614"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813"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w:t>
                  </w:r>
                </w:p>
              </w:tc>
              <w:tc>
                <w:tcPr>
                  <w:tcW w:w="1915"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一般包装材料</w:t>
                  </w:r>
                </w:p>
              </w:tc>
              <w:tc>
                <w:tcPr>
                  <w:tcW w:w="1431" w:type="dxa"/>
                  <w:noWrap w:val="0"/>
                  <w:vAlign w:val="center"/>
                </w:tcPr>
                <w:p>
                  <w:pPr>
                    <w:shd w:val="clear"/>
                    <w:adjustRightInd w:val="0"/>
                    <w:snapToGrid w:val="0"/>
                    <w:spacing w:line="240" w:lineRule="auto"/>
                    <w:ind w:left="-110" w:leftChars="-46" w:right="-122" w:rightChars="-51"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sz w:val="21"/>
                      <w:szCs w:val="21"/>
                      <w:highlight w:val="none"/>
                      <w:lang w:eastAsia="zh-CN"/>
                    </w:rPr>
                    <w:t>原材料使用</w:t>
                  </w:r>
                </w:p>
              </w:tc>
              <w:tc>
                <w:tcPr>
                  <w:tcW w:w="732" w:type="dxa"/>
                  <w:noWrap w:val="0"/>
                  <w:vAlign w:val="center"/>
                </w:tcPr>
                <w:p>
                  <w:pPr>
                    <w:shd w:val="clear"/>
                    <w:spacing w:line="240" w:lineRule="auto"/>
                    <w:ind w:left="-113" w:leftChars="-47" w:right="-120" w:rightChars="-50" w:firstLine="16" w:firstLineChars="8"/>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固态</w:t>
                  </w:r>
                </w:p>
              </w:tc>
              <w:tc>
                <w:tcPr>
                  <w:tcW w:w="1812"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是</w:t>
                  </w:r>
                </w:p>
              </w:tc>
              <w:tc>
                <w:tcPr>
                  <w:tcW w:w="1614" w:type="dxa"/>
                  <w:vMerge w:val="restart"/>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《固体废物鉴别标准 通则》（GB34330-2017）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3"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w:t>
                  </w:r>
                </w:p>
              </w:tc>
              <w:tc>
                <w:tcPr>
                  <w:tcW w:w="1915"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不合格样品及边角料</w:t>
                  </w:r>
                </w:p>
              </w:tc>
              <w:tc>
                <w:tcPr>
                  <w:tcW w:w="1431" w:type="dxa"/>
                  <w:noWrap w:val="0"/>
                  <w:vAlign w:val="center"/>
                </w:tcPr>
                <w:p>
                  <w:pPr>
                    <w:shd w:val="clear"/>
                    <w:adjustRightInd w:val="0"/>
                    <w:snapToGrid w:val="0"/>
                    <w:spacing w:line="240" w:lineRule="auto"/>
                    <w:ind w:right="113" w:rightChars="47"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试制及小试</w:t>
                  </w:r>
                </w:p>
              </w:tc>
              <w:tc>
                <w:tcPr>
                  <w:tcW w:w="732" w:type="dxa"/>
                  <w:noWrap w:val="0"/>
                  <w:vAlign w:val="center"/>
                </w:tcPr>
                <w:p>
                  <w:pPr>
                    <w:shd w:val="clear"/>
                    <w:spacing w:line="240" w:lineRule="auto"/>
                    <w:ind w:left="-113" w:leftChars="-47" w:right="-120" w:rightChars="-50" w:firstLine="16" w:firstLineChars="8"/>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固态</w:t>
                  </w:r>
                </w:p>
              </w:tc>
              <w:tc>
                <w:tcPr>
                  <w:tcW w:w="1812"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是</w:t>
                  </w:r>
                </w:p>
              </w:tc>
              <w:tc>
                <w:tcPr>
                  <w:tcW w:w="1614" w:type="dxa"/>
                  <w:vMerge w:val="continue"/>
                  <w:noWrap w:val="0"/>
                  <w:vAlign w:val="center"/>
                </w:tcPr>
                <w:p>
                  <w:pPr>
                    <w:widowControl/>
                    <w:shd w:val="clear"/>
                    <w:jc w:val="center"/>
                    <w:rPr>
                      <w:rFonts w:ascii="Times New Roman" w:hAnsi="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3"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w:t>
                  </w:r>
                </w:p>
              </w:tc>
              <w:tc>
                <w:tcPr>
                  <w:tcW w:w="1915"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废抹布</w:t>
                  </w:r>
                </w:p>
              </w:tc>
              <w:tc>
                <w:tcPr>
                  <w:tcW w:w="1431"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设备</w:t>
                  </w:r>
                  <w:r>
                    <w:rPr>
                      <w:rFonts w:ascii="Times New Roman" w:hAnsi="Times New Roman"/>
                      <w:color w:val="auto"/>
                      <w:kern w:val="0"/>
                      <w:sz w:val="21"/>
                      <w:szCs w:val="21"/>
                      <w:highlight w:val="none"/>
                    </w:rPr>
                    <w:t>擦拭</w:t>
                  </w:r>
                </w:p>
              </w:tc>
              <w:tc>
                <w:tcPr>
                  <w:tcW w:w="732" w:type="dxa"/>
                  <w:noWrap w:val="0"/>
                  <w:vAlign w:val="center"/>
                </w:tcPr>
                <w:p>
                  <w:pPr>
                    <w:shd w:val="clear"/>
                    <w:spacing w:line="240" w:lineRule="auto"/>
                    <w:ind w:left="-113" w:leftChars="-47" w:right="-120" w:rightChars="-50" w:firstLine="16" w:firstLineChars="8"/>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固态</w:t>
                  </w:r>
                </w:p>
              </w:tc>
              <w:tc>
                <w:tcPr>
                  <w:tcW w:w="1812"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是</w:t>
                  </w:r>
                </w:p>
              </w:tc>
              <w:tc>
                <w:tcPr>
                  <w:tcW w:w="1614" w:type="dxa"/>
                  <w:vMerge w:val="continue"/>
                  <w:noWrap w:val="0"/>
                  <w:vAlign w:val="center"/>
                </w:tcPr>
                <w:p>
                  <w:pPr>
                    <w:widowControl/>
                    <w:shd w:val="clear"/>
                    <w:jc w:val="center"/>
                    <w:rPr>
                      <w:rFonts w:ascii="Times New Roman" w:hAnsi="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813"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w:t>
                  </w:r>
                </w:p>
              </w:tc>
              <w:tc>
                <w:tcPr>
                  <w:tcW w:w="1915"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生活垃圾</w:t>
                  </w:r>
                </w:p>
              </w:tc>
              <w:tc>
                <w:tcPr>
                  <w:tcW w:w="1431" w:type="dxa"/>
                  <w:noWrap w:val="0"/>
                  <w:vAlign w:val="center"/>
                </w:tcPr>
                <w:p>
                  <w:pPr>
                    <w:shd w:val="clear"/>
                    <w:adjustRightInd w:val="0"/>
                    <w:snapToGrid w:val="0"/>
                    <w:spacing w:line="240" w:lineRule="auto"/>
                    <w:ind w:left="-110" w:leftChars="-46" w:right="-122" w:rightChars="-51"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办公生活</w:t>
                  </w:r>
                </w:p>
              </w:tc>
              <w:tc>
                <w:tcPr>
                  <w:tcW w:w="732" w:type="dxa"/>
                  <w:noWrap w:val="0"/>
                  <w:vAlign w:val="center"/>
                </w:tcPr>
                <w:p>
                  <w:pPr>
                    <w:shd w:val="clear"/>
                    <w:spacing w:line="240" w:lineRule="auto"/>
                    <w:ind w:left="-113" w:leftChars="-47" w:right="-120" w:rightChars="-50" w:firstLine="16" w:firstLineChars="8"/>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固态</w:t>
                  </w:r>
                </w:p>
              </w:tc>
              <w:tc>
                <w:tcPr>
                  <w:tcW w:w="1812"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是</w:t>
                  </w:r>
                </w:p>
              </w:tc>
              <w:tc>
                <w:tcPr>
                  <w:tcW w:w="1614" w:type="dxa"/>
                  <w:vMerge w:val="continue"/>
                  <w:noWrap w:val="0"/>
                  <w:vAlign w:val="center"/>
                </w:tcPr>
                <w:p>
                  <w:pPr>
                    <w:widowControl/>
                    <w:shd w:val="clear"/>
                    <w:jc w:val="center"/>
                    <w:rPr>
                      <w:rFonts w:ascii="Times New Roman" w:hAnsi="Times New Roman"/>
                      <w:color w:val="auto"/>
                      <w:szCs w:val="21"/>
                      <w:highlight w:val="none"/>
                    </w:rPr>
                  </w:pPr>
                </w:p>
              </w:tc>
            </w:tr>
          </w:tbl>
          <w:p>
            <w:pPr>
              <w:keepNext w:val="0"/>
              <w:keepLines w:val="0"/>
              <w:pageBreakBefore w:val="0"/>
              <w:widowControl/>
              <w:numPr>
                <w:ilvl w:val="0"/>
                <w:numId w:val="7"/>
              </w:numPr>
              <w:shd w:val="clear"/>
              <w:kinsoku/>
              <w:wordWrap/>
              <w:overflowPunct/>
              <w:topLinePunct w:val="0"/>
              <w:autoSpaceDE w:val="0"/>
              <w:autoSpaceDN w:val="0"/>
              <w:bidi w:val="0"/>
              <w:adjustRightInd w:val="0"/>
              <w:snapToGrid/>
              <w:spacing w:before="164" w:beforeLines="50" w:line="360" w:lineRule="auto"/>
              <w:ind w:firstLine="480" w:firstLineChars="200"/>
              <w:jc w:val="left"/>
              <w:textAlignment w:val="auto"/>
              <w:rPr>
                <w:rFonts w:ascii="Times New Roman" w:hAnsi="Times New Roman"/>
                <w:color w:val="auto"/>
                <w:szCs w:val="20"/>
                <w:highlight w:val="none"/>
              </w:rPr>
            </w:pPr>
            <w:r>
              <w:rPr>
                <w:rFonts w:ascii="Times New Roman" w:hAnsi="Times New Roman"/>
                <w:color w:val="auto"/>
                <w:szCs w:val="20"/>
                <w:highlight w:val="none"/>
              </w:rPr>
              <w:t>项目危险废物属性判定</w:t>
            </w:r>
          </w:p>
          <w:p>
            <w:pPr>
              <w:widowControl/>
              <w:shd w:val="clear"/>
              <w:adjustRightInd w:val="0"/>
              <w:spacing w:line="240" w:lineRule="auto"/>
              <w:ind w:firstLine="422"/>
              <w:jc w:val="center"/>
              <w:rPr>
                <w:rFonts w:ascii="Times New Roman" w:hAnsi="Times New Roman"/>
                <w:b/>
                <w:bCs/>
                <w:color w:val="auto"/>
                <w:sz w:val="24"/>
                <w:szCs w:val="24"/>
                <w:highlight w:val="none"/>
              </w:rPr>
            </w:pPr>
            <w:r>
              <w:rPr>
                <w:rFonts w:ascii="Times New Roman" w:hAnsi="Times New Roman"/>
                <w:b/>
                <w:bCs/>
                <w:color w:val="auto"/>
                <w:sz w:val="24"/>
                <w:szCs w:val="24"/>
                <w:highlight w:val="none"/>
              </w:rPr>
              <w:t>表</w:t>
            </w:r>
            <w:r>
              <w:rPr>
                <w:rFonts w:hint="eastAsia" w:ascii="Times New Roman" w:hAnsi="Times New Roman"/>
                <w:b/>
                <w:color w:val="auto"/>
                <w:sz w:val="24"/>
                <w:szCs w:val="24"/>
                <w:highlight w:val="none"/>
                <w:lang w:val="en-US" w:eastAsia="zh-CN"/>
              </w:rPr>
              <w:t>12</w:t>
            </w:r>
            <w:r>
              <w:rPr>
                <w:rFonts w:ascii="Times New Roman" w:hAnsi="Times New Roman"/>
                <w:b/>
                <w:bCs/>
                <w:color w:val="auto"/>
                <w:sz w:val="24"/>
                <w:szCs w:val="24"/>
                <w:highlight w:val="none"/>
              </w:rPr>
              <w:t xml:space="preserve">  项目危废废物属性判定表</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1897"/>
              <w:gridCol w:w="1850"/>
              <w:gridCol w:w="1771"/>
              <w:gridCol w:w="20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731"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ascii="Times New Roman" w:hAnsi="Times New Roman"/>
                      <w:bCs/>
                      <w:color w:val="auto"/>
                      <w:sz w:val="21"/>
                      <w:szCs w:val="21"/>
                      <w:highlight w:val="none"/>
                    </w:rPr>
                  </w:pPr>
                  <w:r>
                    <w:rPr>
                      <w:rFonts w:ascii="Times New Roman" w:hAnsi="Times New Roman"/>
                      <w:bCs/>
                      <w:color w:val="auto"/>
                      <w:sz w:val="21"/>
                      <w:szCs w:val="21"/>
                      <w:highlight w:val="none"/>
                    </w:rPr>
                    <w:t>序号</w:t>
                  </w:r>
                </w:p>
              </w:tc>
              <w:tc>
                <w:tcPr>
                  <w:tcW w:w="1897"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ascii="Times New Roman" w:hAnsi="Times New Roman"/>
                      <w:bCs/>
                      <w:color w:val="auto"/>
                      <w:sz w:val="21"/>
                      <w:szCs w:val="21"/>
                      <w:highlight w:val="none"/>
                    </w:rPr>
                  </w:pPr>
                  <w:r>
                    <w:rPr>
                      <w:rFonts w:ascii="Times New Roman" w:hAnsi="Times New Roman"/>
                      <w:bCs/>
                      <w:color w:val="auto"/>
                      <w:sz w:val="21"/>
                      <w:szCs w:val="21"/>
                      <w:highlight w:val="none"/>
                    </w:rPr>
                    <w:t>固体废物名称</w:t>
                  </w:r>
                </w:p>
              </w:tc>
              <w:tc>
                <w:tcPr>
                  <w:tcW w:w="1850"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ascii="Times New Roman" w:hAnsi="Times New Roman"/>
                      <w:bCs/>
                      <w:color w:val="auto"/>
                      <w:sz w:val="21"/>
                      <w:szCs w:val="21"/>
                      <w:highlight w:val="none"/>
                    </w:rPr>
                  </w:pPr>
                  <w:r>
                    <w:rPr>
                      <w:rFonts w:ascii="Times New Roman" w:hAnsi="Times New Roman"/>
                      <w:bCs/>
                      <w:color w:val="auto"/>
                      <w:sz w:val="21"/>
                      <w:szCs w:val="21"/>
                      <w:highlight w:val="none"/>
                    </w:rPr>
                    <w:t>产生工序</w:t>
                  </w:r>
                </w:p>
              </w:tc>
              <w:tc>
                <w:tcPr>
                  <w:tcW w:w="1771"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ascii="Times New Roman" w:hAnsi="Times New Roman"/>
                      <w:bCs/>
                      <w:color w:val="auto"/>
                      <w:sz w:val="21"/>
                      <w:szCs w:val="21"/>
                      <w:highlight w:val="none"/>
                    </w:rPr>
                  </w:pPr>
                  <w:r>
                    <w:rPr>
                      <w:rFonts w:ascii="Times New Roman" w:hAnsi="Times New Roman"/>
                      <w:bCs/>
                      <w:color w:val="auto"/>
                      <w:sz w:val="21"/>
                      <w:szCs w:val="21"/>
                      <w:highlight w:val="none"/>
                    </w:rPr>
                    <w:t>是否属危险废物</w:t>
                  </w:r>
                </w:p>
              </w:tc>
              <w:tc>
                <w:tcPr>
                  <w:tcW w:w="2028"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ascii="Times New Roman" w:hAnsi="Times New Roman"/>
                      <w:bCs/>
                      <w:color w:val="auto"/>
                      <w:sz w:val="21"/>
                      <w:szCs w:val="21"/>
                      <w:highlight w:val="none"/>
                    </w:rPr>
                  </w:pPr>
                  <w:r>
                    <w:rPr>
                      <w:rFonts w:ascii="Times New Roman" w:hAnsi="Times New Roman"/>
                      <w:bCs/>
                      <w:color w:val="auto"/>
                      <w:sz w:val="21"/>
                      <w:szCs w:val="21"/>
                      <w:highlight w:val="none"/>
                    </w:rPr>
                    <w:t>废物代码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1" w:type="dxa"/>
                  <w:noWrap w:val="0"/>
                  <w:vAlign w:val="center"/>
                </w:tcPr>
                <w:p>
                  <w:pPr>
                    <w:pStyle w:val="27"/>
                    <w:keepNext w:val="0"/>
                    <w:keepLines w:val="0"/>
                    <w:pageBreakBefore w:val="0"/>
                    <w:widowControl/>
                    <w:numPr>
                      <w:ilvl w:val="0"/>
                      <w:numId w:val="8"/>
                    </w:numPr>
                    <w:shd w:val="clear"/>
                    <w:kinsoku/>
                    <w:wordWrap/>
                    <w:overflowPunct/>
                    <w:topLinePunct w:val="0"/>
                    <w:autoSpaceDE w:val="0"/>
                    <w:autoSpaceDN w:val="0"/>
                    <w:bidi w:val="0"/>
                    <w:adjustRightInd w:val="0"/>
                    <w:ind w:left="0" w:leftChars="0" w:right="0" w:rightChars="0" w:firstLineChars="0"/>
                    <w:jc w:val="center"/>
                    <w:textAlignment w:val="auto"/>
                    <w:rPr>
                      <w:rFonts w:ascii="Times New Roman" w:hAnsi="Times New Roman"/>
                      <w:color w:val="auto"/>
                      <w:sz w:val="21"/>
                      <w:szCs w:val="21"/>
                      <w:highlight w:val="none"/>
                    </w:rPr>
                  </w:pPr>
                </w:p>
              </w:tc>
              <w:tc>
                <w:tcPr>
                  <w:tcW w:w="1897"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一般包装材料</w:t>
                  </w:r>
                </w:p>
              </w:tc>
              <w:tc>
                <w:tcPr>
                  <w:tcW w:w="1850" w:type="dxa"/>
                  <w:noWrap w:val="0"/>
                  <w:vAlign w:val="center"/>
                </w:tcPr>
                <w:p>
                  <w:pPr>
                    <w:shd w:val="clear"/>
                    <w:adjustRightInd w:val="0"/>
                    <w:snapToGrid w:val="0"/>
                    <w:spacing w:line="240" w:lineRule="auto"/>
                    <w:ind w:left="-110" w:leftChars="-46" w:right="-122" w:rightChars="-51"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sz w:val="21"/>
                      <w:szCs w:val="21"/>
                      <w:highlight w:val="none"/>
                      <w:lang w:eastAsia="zh-CN"/>
                    </w:rPr>
                    <w:t>原材料使用</w:t>
                  </w:r>
                </w:p>
              </w:tc>
              <w:tc>
                <w:tcPr>
                  <w:tcW w:w="1771" w:type="dxa"/>
                  <w:noWrap w:val="0"/>
                  <w:vAlign w:val="center"/>
                </w:tcPr>
                <w:p>
                  <w:pPr>
                    <w:keepNext w:val="0"/>
                    <w:keepLines w:val="0"/>
                    <w:pageBreakBefore w:val="0"/>
                    <w:shd w:val="clea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ascii="Times New Roman" w:hAnsi="Times New Roman"/>
                      <w:color w:val="auto"/>
                      <w:kern w:val="0"/>
                      <w:sz w:val="21"/>
                      <w:szCs w:val="21"/>
                      <w:highlight w:val="none"/>
                    </w:rPr>
                  </w:pPr>
                  <w:r>
                    <w:rPr>
                      <w:rFonts w:ascii="Times New Roman" w:hAnsi="Times New Roman"/>
                      <w:color w:val="auto"/>
                      <w:sz w:val="21"/>
                      <w:szCs w:val="21"/>
                      <w:highlight w:val="none"/>
                    </w:rPr>
                    <w:t>否</w:t>
                  </w:r>
                </w:p>
              </w:tc>
              <w:tc>
                <w:tcPr>
                  <w:tcW w:w="2028"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1" w:type="dxa"/>
                  <w:noWrap w:val="0"/>
                  <w:vAlign w:val="center"/>
                </w:tcPr>
                <w:p>
                  <w:pPr>
                    <w:pStyle w:val="27"/>
                    <w:keepNext w:val="0"/>
                    <w:keepLines w:val="0"/>
                    <w:pageBreakBefore w:val="0"/>
                    <w:widowControl/>
                    <w:numPr>
                      <w:ilvl w:val="0"/>
                      <w:numId w:val="8"/>
                    </w:numPr>
                    <w:shd w:val="clear"/>
                    <w:kinsoku/>
                    <w:wordWrap/>
                    <w:overflowPunct/>
                    <w:topLinePunct w:val="0"/>
                    <w:autoSpaceDE w:val="0"/>
                    <w:autoSpaceDN w:val="0"/>
                    <w:bidi w:val="0"/>
                    <w:adjustRightInd w:val="0"/>
                    <w:ind w:left="0" w:leftChars="0" w:right="0" w:rightChars="0" w:firstLineChars="0"/>
                    <w:jc w:val="center"/>
                    <w:textAlignment w:val="auto"/>
                    <w:rPr>
                      <w:rFonts w:ascii="Times New Roman" w:hAnsi="Times New Roman"/>
                      <w:color w:val="auto"/>
                      <w:sz w:val="21"/>
                      <w:szCs w:val="21"/>
                      <w:highlight w:val="none"/>
                    </w:rPr>
                  </w:pPr>
                </w:p>
              </w:tc>
              <w:tc>
                <w:tcPr>
                  <w:tcW w:w="1897"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不合格样品及边角料</w:t>
                  </w:r>
                </w:p>
              </w:tc>
              <w:tc>
                <w:tcPr>
                  <w:tcW w:w="1850" w:type="dxa"/>
                  <w:noWrap w:val="0"/>
                  <w:vAlign w:val="center"/>
                </w:tcPr>
                <w:p>
                  <w:pPr>
                    <w:shd w:val="clear"/>
                    <w:adjustRightInd w:val="0"/>
                    <w:snapToGrid w:val="0"/>
                    <w:spacing w:line="240" w:lineRule="auto"/>
                    <w:ind w:right="113" w:rightChars="47"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试制及小试</w:t>
                  </w:r>
                </w:p>
              </w:tc>
              <w:tc>
                <w:tcPr>
                  <w:tcW w:w="1771"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ascii="Times New Roman" w:hAnsi="Times New Roman"/>
                      <w:color w:val="auto"/>
                      <w:sz w:val="21"/>
                      <w:szCs w:val="21"/>
                      <w:highlight w:val="none"/>
                    </w:rPr>
                  </w:pPr>
                  <w:r>
                    <w:rPr>
                      <w:rFonts w:ascii="Times New Roman" w:hAnsi="Times New Roman"/>
                      <w:color w:val="auto"/>
                      <w:sz w:val="21"/>
                      <w:szCs w:val="21"/>
                      <w:highlight w:val="none"/>
                    </w:rPr>
                    <w:t>否</w:t>
                  </w:r>
                </w:p>
              </w:tc>
              <w:tc>
                <w:tcPr>
                  <w:tcW w:w="2028"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hint="eastAsia" w:ascii="Times New Roman" w:hAnsi="Times New Roman" w:eastAsia="宋体"/>
                      <w:color w:val="auto"/>
                      <w:kern w:val="0"/>
                      <w:sz w:val="21"/>
                      <w:szCs w:val="21"/>
                      <w:highlight w:val="none"/>
                      <w:lang w:eastAsia="zh-CN"/>
                    </w:rPr>
                  </w:pPr>
                  <w:r>
                    <w:rPr>
                      <w:rFonts w:hint="eastAsia" w:ascii="Times New Roman" w:hAnsi="Times New Roman"/>
                      <w:color w:val="auto"/>
                      <w:kern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1" w:type="dxa"/>
                  <w:noWrap w:val="0"/>
                  <w:vAlign w:val="center"/>
                </w:tcPr>
                <w:p>
                  <w:pPr>
                    <w:pStyle w:val="27"/>
                    <w:keepNext w:val="0"/>
                    <w:keepLines w:val="0"/>
                    <w:pageBreakBefore w:val="0"/>
                    <w:widowControl/>
                    <w:numPr>
                      <w:ilvl w:val="0"/>
                      <w:numId w:val="8"/>
                    </w:numPr>
                    <w:shd w:val="clear"/>
                    <w:kinsoku/>
                    <w:wordWrap/>
                    <w:overflowPunct/>
                    <w:topLinePunct w:val="0"/>
                    <w:autoSpaceDE w:val="0"/>
                    <w:autoSpaceDN w:val="0"/>
                    <w:bidi w:val="0"/>
                    <w:adjustRightInd w:val="0"/>
                    <w:ind w:left="0" w:leftChars="0" w:right="0" w:rightChars="0" w:firstLineChars="0"/>
                    <w:jc w:val="center"/>
                    <w:textAlignment w:val="auto"/>
                    <w:rPr>
                      <w:rFonts w:ascii="Times New Roman" w:hAnsi="Times New Roman"/>
                      <w:color w:val="auto"/>
                      <w:sz w:val="21"/>
                      <w:szCs w:val="21"/>
                      <w:highlight w:val="none"/>
                    </w:rPr>
                  </w:pPr>
                </w:p>
              </w:tc>
              <w:tc>
                <w:tcPr>
                  <w:tcW w:w="1897"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废抹布</w:t>
                  </w:r>
                </w:p>
              </w:tc>
              <w:tc>
                <w:tcPr>
                  <w:tcW w:w="1850"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设备</w:t>
                  </w:r>
                  <w:r>
                    <w:rPr>
                      <w:rFonts w:ascii="Times New Roman" w:hAnsi="Times New Roman"/>
                      <w:color w:val="auto"/>
                      <w:kern w:val="0"/>
                      <w:sz w:val="21"/>
                      <w:szCs w:val="21"/>
                      <w:highlight w:val="none"/>
                    </w:rPr>
                    <w:t>擦拭</w:t>
                  </w:r>
                </w:p>
              </w:tc>
              <w:tc>
                <w:tcPr>
                  <w:tcW w:w="1771"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ascii="Times New Roman" w:hAnsi="Times New Roman" w:eastAsia="宋体" w:cs="Times New Roman"/>
                      <w:color w:val="auto"/>
                      <w:sz w:val="21"/>
                      <w:szCs w:val="21"/>
                      <w:highlight w:val="none"/>
                      <w:lang w:val="en-US" w:eastAsia="zh-CN" w:bidi="ar-SA"/>
                    </w:rPr>
                  </w:pPr>
                  <w:r>
                    <w:rPr>
                      <w:rFonts w:ascii="Times New Roman" w:hAnsi="Times New Roman"/>
                      <w:color w:val="auto"/>
                      <w:sz w:val="21"/>
                      <w:szCs w:val="21"/>
                      <w:highlight w:val="none"/>
                    </w:rPr>
                    <w:t>是</w:t>
                  </w:r>
                </w:p>
              </w:tc>
              <w:tc>
                <w:tcPr>
                  <w:tcW w:w="2028"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ascii="Times New Roman" w:hAnsi="Times New Roman"/>
                      <w:color w:val="auto"/>
                      <w:kern w:val="0"/>
                      <w:sz w:val="21"/>
                      <w:szCs w:val="21"/>
                      <w:highlight w:val="none"/>
                    </w:rPr>
                  </w:pPr>
                  <w:r>
                    <w:rPr>
                      <w:rFonts w:ascii="Times New Roman" w:hAnsi="Times New Roman"/>
                      <w:color w:val="auto"/>
                      <w:kern w:val="0"/>
                      <w:sz w:val="21"/>
                      <w:szCs w:val="21"/>
                      <w:highlight w:val="none"/>
                    </w:rPr>
                    <w:t>900-041-49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1" w:type="dxa"/>
                  <w:noWrap w:val="0"/>
                  <w:vAlign w:val="center"/>
                </w:tcPr>
                <w:p>
                  <w:pPr>
                    <w:pStyle w:val="27"/>
                    <w:keepNext w:val="0"/>
                    <w:keepLines w:val="0"/>
                    <w:pageBreakBefore w:val="0"/>
                    <w:widowControl/>
                    <w:numPr>
                      <w:ilvl w:val="0"/>
                      <w:numId w:val="8"/>
                    </w:numPr>
                    <w:shd w:val="clear"/>
                    <w:kinsoku/>
                    <w:wordWrap/>
                    <w:overflowPunct/>
                    <w:topLinePunct w:val="0"/>
                    <w:autoSpaceDE w:val="0"/>
                    <w:autoSpaceDN w:val="0"/>
                    <w:bidi w:val="0"/>
                    <w:adjustRightInd w:val="0"/>
                    <w:ind w:left="0" w:leftChars="0" w:right="0" w:rightChars="0" w:firstLineChars="0"/>
                    <w:jc w:val="center"/>
                    <w:textAlignment w:val="auto"/>
                    <w:rPr>
                      <w:rFonts w:ascii="Times New Roman" w:hAnsi="Times New Roman"/>
                      <w:color w:val="auto"/>
                      <w:sz w:val="21"/>
                      <w:szCs w:val="21"/>
                      <w:highlight w:val="none"/>
                    </w:rPr>
                  </w:pPr>
                </w:p>
              </w:tc>
              <w:tc>
                <w:tcPr>
                  <w:tcW w:w="1897"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生活垃圾</w:t>
                  </w:r>
                </w:p>
              </w:tc>
              <w:tc>
                <w:tcPr>
                  <w:tcW w:w="1850" w:type="dxa"/>
                  <w:noWrap w:val="0"/>
                  <w:vAlign w:val="center"/>
                </w:tcPr>
                <w:p>
                  <w:pPr>
                    <w:shd w:val="clear"/>
                    <w:adjustRightInd w:val="0"/>
                    <w:snapToGrid w:val="0"/>
                    <w:spacing w:line="240" w:lineRule="auto"/>
                    <w:ind w:left="-110" w:leftChars="-46" w:right="-122" w:rightChars="-51"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办公生活</w:t>
                  </w:r>
                </w:p>
              </w:tc>
              <w:tc>
                <w:tcPr>
                  <w:tcW w:w="1771"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ascii="Times New Roman" w:hAnsi="Times New Roman" w:eastAsia="宋体" w:cs="Times New Roman"/>
                      <w:color w:val="auto"/>
                      <w:sz w:val="21"/>
                      <w:szCs w:val="21"/>
                      <w:highlight w:val="none"/>
                      <w:lang w:val="en-US" w:eastAsia="zh-CN" w:bidi="ar-SA"/>
                    </w:rPr>
                  </w:pPr>
                  <w:r>
                    <w:rPr>
                      <w:rFonts w:ascii="Times New Roman" w:hAnsi="Times New Roman"/>
                      <w:color w:val="auto"/>
                      <w:sz w:val="21"/>
                      <w:szCs w:val="21"/>
                      <w:highlight w:val="none"/>
                    </w:rPr>
                    <w:t>否</w:t>
                  </w:r>
                </w:p>
              </w:tc>
              <w:tc>
                <w:tcPr>
                  <w:tcW w:w="2028" w:type="dxa"/>
                  <w:noWrap w:val="0"/>
                  <w:vAlign w:val="center"/>
                </w:tcPr>
                <w:p>
                  <w:pPr>
                    <w:keepNext w:val="0"/>
                    <w:keepLines w:val="0"/>
                    <w:pageBreakBefore w:val="0"/>
                    <w:widowControl/>
                    <w:shd w:val="clear"/>
                    <w:kinsoku/>
                    <w:wordWrap/>
                    <w:overflowPunct/>
                    <w:topLinePunct w:val="0"/>
                    <w:autoSpaceDE w:val="0"/>
                    <w:autoSpaceDN w:val="0"/>
                    <w:bidi w:val="0"/>
                    <w:adjustRightInd w:val="0"/>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lang w:eastAsia="zh-CN"/>
                    </w:rPr>
                  </w:pPr>
                  <w:r>
                    <w:rPr>
                      <w:rFonts w:hint="eastAsia" w:ascii="Times New Roman" w:hAnsi="Times New Roman"/>
                      <w:color w:val="auto"/>
                      <w:kern w:val="0"/>
                      <w:sz w:val="21"/>
                      <w:szCs w:val="21"/>
                      <w:highlight w:val="none"/>
                      <w:lang w:val="en-US" w:eastAsia="zh-CN"/>
                    </w:rPr>
                    <w:t>/</w:t>
                  </w:r>
                </w:p>
              </w:tc>
            </w:tr>
          </w:tbl>
          <w:p>
            <w:pPr>
              <w:keepNext w:val="0"/>
              <w:keepLines w:val="0"/>
              <w:pageBreakBefore w:val="0"/>
              <w:widowControl/>
              <w:numPr>
                <w:ilvl w:val="0"/>
                <w:numId w:val="7"/>
              </w:numPr>
              <w:shd w:val="clear"/>
              <w:kinsoku/>
              <w:wordWrap/>
              <w:overflowPunct/>
              <w:topLinePunct w:val="0"/>
              <w:autoSpaceDE w:val="0"/>
              <w:autoSpaceDN w:val="0"/>
              <w:bidi w:val="0"/>
              <w:adjustRightInd w:val="0"/>
              <w:snapToGrid/>
              <w:spacing w:line="360" w:lineRule="auto"/>
              <w:ind w:firstLine="480" w:firstLineChars="200"/>
              <w:jc w:val="left"/>
              <w:textAlignment w:val="auto"/>
              <w:rPr>
                <w:rFonts w:ascii="Times New Roman" w:hAnsi="Times New Roman"/>
                <w:color w:val="auto"/>
                <w:szCs w:val="20"/>
                <w:highlight w:val="none"/>
              </w:rPr>
            </w:pPr>
            <w:r>
              <w:rPr>
                <w:rFonts w:ascii="Times New Roman" w:hAnsi="Times New Roman"/>
                <w:color w:val="auto"/>
                <w:szCs w:val="20"/>
                <w:highlight w:val="none"/>
              </w:rPr>
              <w:t>固体废物排放量分析汇总</w:t>
            </w:r>
          </w:p>
          <w:p>
            <w:pPr>
              <w:keepNext w:val="0"/>
              <w:keepLines w:val="0"/>
              <w:pageBreakBefore w:val="0"/>
              <w:widowControl/>
              <w:shd w:val="clear"/>
              <w:kinsoku/>
              <w:wordWrap/>
              <w:overflowPunct/>
              <w:topLinePunct w:val="0"/>
              <w:autoSpaceDE w:val="0"/>
              <w:autoSpaceDN w:val="0"/>
              <w:bidi w:val="0"/>
              <w:adjustRightInd w:val="0"/>
              <w:snapToGrid/>
              <w:spacing w:line="360" w:lineRule="auto"/>
              <w:ind w:firstLine="480" w:firstLineChars="200"/>
              <w:jc w:val="left"/>
              <w:textAlignment w:val="auto"/>
              <w:rPr>
                <w:rFonts w:ascii="Times New Roman" w:hAnsi="Times New Roman"/>
                <w:color w:val="auto"/>
                <w:szCs w:val="20"/>
                <w:highlight w:val="none"/>
              </w:rPr>
            </w:pPr>
            <w:r>
              <w:rPr>
                <w:rFonts w:ascii="Times New Roman" w:hAnsi="Times New Roman"/>
                <w:color w:val="auto"/>
                <w:szCs w:val="20"/>
                <w:highlight w:val="none"/>
              </w:rPr>
              <w:t>固体废物排放量分析结果见下表。</w:t>
            </w:r>
          </w:p>
          <w:p>
            <w:pPr>
              <w:shd w:val="clear"/>
              <w:adjustRightInd w:val="0"/>
              <w:spacing w:line="240" w:lineRule="auto"/>
              <w:ind w:firstLine="422"/>
              <w:jc w:val="center"/>
              <w:rPr>
                <w:rFonts w:ascii="Times New Roman" w:hAnsi="Times New Roman"/>
                <w:b/>
                <w:bCs/>
                <w:color w:val="auto"/>
                <w:sz w:val="24"/>
                <w:szCs w:val="24"/>
                <w:highlight w:val="none"/>
              </w:rPr>
            </w:pPr>
            <w:r>
              <w:rPr>
                <w:rFonts w:ascii="Times New Roman" w:hAnsi="Times New Roman"/>
                <w:b/>
                <w:bCs/>
                <w:color w:val="auto"/>
                <w:sz w:val="24"/>
                <w:szCs w:val="24"/>
                <w:highlight w:val="none"/>
              </w:rPr>
              <w:t>表</w:t>
            </w:r>
            <w:r>
              <w:rPr>
                <w:rFonts w:hint="eastAsia" w:ascii="Times New Roman" w:hAnsi="Times New Roman"/>
                <w:b/>
                <w:bCs/>
                <w:color w:val="auto"/>
                <w:sz w:val="24"/>
                <w:szCs w:val="24"/>
                <w:highlight w:val="none"/>
                <w:lang w:val="en-US" w:eastAsia="zh-CN"/>
              </w:rPr>
              <w:t>13</w:t>
            </w:r>
            <w:r>
              <w:rPr>
                <w:rFonts w:ascii="Times New Roman" w:hAnsi="Times New Roman"/>
                <w:b/>
                <w:bCs/>
                <w:color w:val="auto"/>
                <w:sz w:val="24"/>
                <w:szCs w:val="24"/>
                <w:highlight w:val="none"/>
              </w:rPr>
              <w:t xml:space="preserve">  固体废物产生量分析结果汇总 </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575"/>
              <w:gridCol w:w="1377"/>
              <w:gridCol w:w="1200"/>
              <w:gridCol w:w="582"/>
              <w:gridCol w:w="1489"/>
              <w:gridCol w:w="943"/>
              <w:gridCol w:w="1118"/>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83" w:hRule="atLeast"/>
                <w:jc w:val="center"/>
              </w:trPr>
              <w:tc>
                <w:tcPr>
                  <w:tcW w:w="575"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序号</w:t>
                  </w:r>
                </w:p>
              </w:tc>
              <w:tc>
                <w:tcPr>
                  <w:tcW w:w="1377"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固体废物名称</w:t>
                  </w:r>
                </w:p>
              </w:tc>
              <w:tc>
                <w:tcPr>
                  <w:tcW w:w="1200"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产生工序</w:t>
                  </w:r>
                </w:p>
              </w:tc>
              <w:tc>
                <w:tcPr>
                  <w:tcW w:w="582"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形态</w:t>
                  </w:r>
                </w:p>
              </w:tc>
              <w:tc>
                <w:tcPr>
                  <w:tcW w:w="1489"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主要成分</w:t>
                  </w:r>
                </w:p>
              </w:tc>
              <w:tc>
                <w:tcPr>
                  <w:tcW w:w="943"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属性</w:t>
                  </w:r>
                </w:p>
              </w:tc>
              <w:tc>
                <w:tcPr>
                  <w:tcW w:w="1118"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废物代码</w:t>
                  </w:r>
                </w:p>
              </w:tc>
              <w:tc>
                <w:tcPr>
                  <w:tcW w:w="992"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预测产生量t/a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05" w:hRule="atLeast"/>
                <w:jc w:val="center"/>
              </w:trPr>
              <w:tc>
                <w:tcPr>
                  <w:tcW w:w="575"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w:t>
                  </w:r>
                </w:p>
              </w:tc>
              <w:tc>
                <w:tcPr>
                  <w:tcW w:w="1377"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一般包装材料</w:t>
                  </w:r>
                </w:p>
              </w:tc>
              <w:tc>
                <w:tcPr>
                  <w:tcW w:w="1200" w:type="dxa"/>
                  <w:noWrap w:val="0"/>
                  <w:vAlign w:val="center"/>
                </w:tcPr>
                <w:p>
                  <w:pPr>
                    <w:shd w:val="clear"/>
                    <w:adjustRightInd w:val="0"/>
                    <w:snapToGrid w:val="0"/>
                    <w:spacing w:line="240" w:lineRule="auto"/>
                    <w:ind w:left="-110" w:leftChars="-46" w:right="-122" w:rightChars="-51"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sz w:val="21"/>
                      <w:szCs w:val="21"/>
                      <w:highlight w:val="none"/>
                      <w:lang w:eastAsia="zh-CN"/>
                    </w:rPr>
                    <w:t>原材料使用</w:t>
                  </w:r>
                </w:p>
              </w:tc>
              <w:tc>
                <w:tcPr>
                  <w:tcW w:w="582" w:type="dxa"/>
                  <w:noWrap w:val="0"/>
                  <w:vAlign w:val="center"/>
                </w:tcPr>
                <w:p>
                  <w:pPr>
                    <w:shd w:val="clear"/>
                    <w:spacing w:line="240" w:lineRule="auto"/>
                    <w:ind w:left="-113" w:leftChars="-47" w:right="-120" w:rightChars="-50" w:firstLine="16" w:firstLineChars="8"/>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固态</w:t>
                  </w:r>
                </w:p>
              </w:tc>
              <w:tc>
                <w:tcPr>
                  <w:tcW w:w="1489" w:type="dxa"/>
                  <w:noWrap w:val="0"/>
                  <w:vAlign w:val="center"/>
                </w:tcPr>
                <w:p>
                  <w:pPr>
                    <w:shd w:val="clear"/>
                    <w:spacing w:line="240" w:lineRule="auto"/>
                    <w:ind w:right="36" w:rightChars="15" w:firstLine="16" w:firstLineChars="8"/>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塑料、纸张等</w:t>
                  </w:r>
                </w:p>
              </w:tc>
              <w:tc>
                <w:tcPr>
                  <w:tcW w:w="943"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一般固废</w:t>
                  </w:r>
                </w:p>
              </w:tc>
              <w:tc>
                <w:tcPr>
                  <w:tcW w:w="1118" w:type="dxa"/>
                  <w:noWrap w:val="0"/>
                  <w:vAlign w:val="center"/>
                </w:tcPr>
                <w:p>
                  <w:pPr>
                    <w:widowControl/>
                    <w:shd w:val="clear"/>
                    <w:spacing w:line="240" w:lineRule="auto"/>
                    <w:ind w:firstLine="0" w:firstLineChars="0"/>
                    <w:jc w:val="center"/>
                    <w:rPr>
                      <w:rFonts w:ascii="Times New Roman" w:hAnsi="Times New Roman" w:eastAsia="宋体" w:cs="Times New Roman"/>
                      <w:color w:val="auto"/>
                      <w:sz w:val="21"/>
                      <w:szCs w:val="21"/>
                      <w:highlight w:val="none"/>
                      <w:lang w:val="en-US" w:eastAsia="zh-CN" w:bidi="ar-SA"/>
                    </w:rPr>
                  </w:pPr>
                  <w:r>
                    <w:rPr>
                      <w:rFonts w:ascii="Times New Roman" w:hAnsi="Times New Roman"/>
                      <w:color w:val="auto"/>
                      <w:sz w:val="21"/>
                      <w:szCs w:val="21"/>
                      <w:highlight w:val="none"/>
                    </w:rPr>
                    <w:t>/</w:t>
                  </w:r>
                </w:p>
              </w:tc>
              <w:tc>
                <w:tcPr>
                  <w:tcW w:w="992" w:type="dxa"/>
                  <w:noWrap w:val="0"/>
                  <w:vAlign w:val="center"/>
                </w:tcPr>
                <w:p>
                  <w:pPr>
                    <w:widowControl/>
                    <w:shd w:val="clea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29" w:hRule="atLeast"/>
                <w:jc w:val="center"/>
              </w:trPr>
              <w:tc>
                <w:tcPr>
                  <w:tcW w:w="575"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2</w:t>
                  </w:r>
                </w:p>
              </w:tc>
              <w:tc>
                <w:tcPr>
                  <w:tcW w:w="1377"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不合格样品及边角料</w:t>
                  </w:r>
                </w:p>
              </w:tc>
              <w:tc>
                <w:tcPr>
                  <w:tcW w:w="1200" w:type="dxa"/>
                  <w:noWrap w:val="0"/>
                  <w:vAlign w:val="center"/>
                </w:tcPr>
                <w:p>
                  <w:pPr>
                    <w:shd w:val="clear"/>
                    <w:adjustRightInd w:val="0"/>
                    <w:snapToGrid w:val="0"/>
                    <w:spacing w:line="240" w:lineRule="auto"/>
                    <w:ind w:right="113" w:rightChars="47"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试制及小试</w:t>
                  </w:r>
                </w:p>
              </w:tc>
              <w:tc>
                <w:tcPr>
                  <w:tcW w:w="582" w:type="dxa"/>
                  <w:noWrap w:val="0"/>
                  <w:vAlign w:val="center"/>
                </w:tcPr>
                <w:p>
                  <w:pPr>
                    <w:shd w:val="clear"/>
                    <w:spacing w:line="240" w:lineRule="auto"/>
                    <w:ind w:left="-113" w:leftChars="-47" w:right="-120" w:rightChars="-50" w:firstLine="16" w:firstLineChars="8"/>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固态</w:t>
                  </w:r>
                </w:p>
              </w:tc>
              <w:tc>
                <w:tcPr>
                  <w:tcW w:w="1489" w:type="dxa"/>
                  <w:noWrap w:val="0"/>
                  <w:vAlign w:val="center"/>
                </w:tcPr>
                <w:p>
                  <w:pPr>
                    <w:shd w:val="clear"/>
                    <w:spacing w:line="240" w:lineRule="auto"/>
                    <w:ind w:left="-26" w:leftChars="-11" w:right="-26" w:rightChars="-11" w:firstLine="16" w:firstLineChars="8"/>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sz w:val="21"/>
                      <w:szCs w:val="21"/>
                      <w:highlight w:val="none"/>
                      <w:lang w:val="en-US" w:eastAsia="zh-CN"/>
                    </w:rPr>
                    <w:t>PVC、DOTP等</w:t>
                  </w:r>
                </w:p>
              </w:tc>
              <w:tc>
                <w:tcPr>
                  <w:tcW w:w="943"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一般固废</w:t>
                  </w:r>
                </w:p>
              </w:tc>
              <w:tc>
                <w:tcPr>
                  <w:tcW w:w="1118" w:type="dxa"/>
                  <w:noWrap w:val="0"/>
                  <w:vAlign w:val="center"/>
                </w:tcPr>
                <w:p>
                  <w:pPr>
                    <w:widowControl/>
                    <w:shd w:val="clear"/>
                    <w:spacing w:line="240" w:lineRule="auto"/>
                    <w:ind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w:t>
                  </w:r>
                </w:p>
              </w:tc>
              <w:tc>
                <w:tcPr>
                  <w:tcW w:w="992" w:type="dxa"/>
                  <w:noWrap w:val="0"/>
                  <w:vAlign w:val="center"/>
                </w:tcPr>
                <w:p>
                  <w:pPr>
                    <w:widowControl/>
                    <w:shd w:val="clea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0.</w:t>
                  </w:r>
                  <w:r>
                    <w:rPr>
                      <w:rFonts w:hint="eastAsia" w:ascii="Times New Roman" w:hAnsi="Times New Roman"/>
                      <w:color w:val="auto"/>
                      <w:kern w:val="0"/>
                      <w:sz w:val="21"/>
                      <w:szCs w:val="21"/>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90" w:hRule="atLeast"/>
                <w:jc w:val="center"/>
              </w:trPr>
              <w:tc>
                <w:tcPr>
                  <w:tcW w:w="575"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3</w:t>
                  </w:r>
                </w:p>
              </w:tc>
              <w:tc>
                <w:tcPr>
                  <w:tcW w:w="1377"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废抹布</w:t>
                  </w:r>
                </w:p>
              </w:tc>
              <w:tc>
                <w:tcPr>
                  <w:tcW w:w="1200"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设备</w:t>
                  </w:r>
                  <w:r>
                    <w:rPr>
                      <w:rFonts w:ascii="Times New Roman" w:hAnsi="Times New Roman"/>
                      <w:color w:val="auto"/>
                      <w:kern w:val="0"/>
                      <w:sz w:val="21"/>
                      <w:szCs w:val="21"/>
                      <w:highlight w:val="none"/>
                    </w:rPr>
                    <w:t>擦拭</w:t>
                  </w:r>
                </w:p>
              </w:tc>
              <w:tc>
                <w:tcPr>
                  <w:tcW w:w="582" w:type="dxa"/>
                  <w:noWrap w:val="0"/>
                  <w:vAlign w:val="center"/>
                </w:tcPr>
                <w:p>
                  <w:pPr>
                    <w:shd w:val="clear"/>
                    <w:spacing w:line="240" w:lineRule="auto"/>
                    <w:ind w:left="-113" w:leftChars="-47" w:right="-120" w:rightChars="-50" w:firstLine="16" w:firstLineChars="8"/>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固态</w:t>
                  </w:r>
                </w:p>
              </w:tc>
              <w:tc>
                <w:tcPr>
                  <w:tcW w:w="1489" w:type="dxa"/>
                  <w:noWrap w:val="0"/>
                  <w:vAlign w:val="center"/>
                </w:tcPr>
                <w:p>
                  <w:pPr>
                    <w:shd w:val="clear"/>
                    <w:spacing w:line="240" w:lineRule="auto"/>
                    <w:ind w:left="-113" w:leftChars="-47" w:right="-120" w:rightChars="-50" w:firstLine="16" w:firstLineChars="8"/>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有机溶剂、布等</w:t>
                  </w:r>
                </w:p>
              </w:tc>
              <w:tc>
                <w:tcPr>
                  <w:tcW w:w="943"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危险废物</w:t>
                  </w:r>
                </w:p>
              </w:tc>
              <w:tc>
                <w:tcPr>
                  <w:tcW w:w="1118" w:type="dxa"/>
                  <w:noWrap w:val="0"/>
                  <w:vAlign w:val="center"/>
                </w:tcPr>
                <w:p>
                  <w:pPr>
                    <w:widowControl/>
                    <w:shd w:val="clear"/>
                    <w:spacing w:line="240" w:lineRule="auto"/>
                    <w:ind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900-041-49</w:t>
                  </w:r>
                </w:p>
              </w:tc>
              <w:tc>
                <w:tcPr>
                  <w:tcW w:w="992" w:type="dxa"/>
                  <w:noWrap w:val="0"/>
                  <w:vAlign w:val="center"/>
                </w:tcPr>
                <w:p>
                  <w:pPr>
                    <w:widowControl/>
                    <w:shd w:val="clear"/>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90" w:hRule="atLeast"/>
                <w:jc w:val="center"/>
              </w:trPr>
              <w:tc>
                <w:tcPr>
                  <w:tcW w:w="575"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4</w:t>
                  </w:r>
                </w:p>
              </w:tc>
              <w:tc>
                <w:tcPr>
                  <w:tcW w:w="1377"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生活垃圾</w:t>
                  </w:r>
                </w:p>
              </w:tc>
              <w:tc>
                <w:tcPr>
                  <w:tcW w:w="1200" w:type="dxa"/>
                  <w:noWrap w:val="0"/>
                  <w:vAlign w:val="center"/>
                </w:tcPr>
                <w:p>
                  <w:pPr>
                    <w:shd w:val="clear"/>
                    <w:adjustRightInd w:val="0"/>
                    <w:snapToGrid w:val="0"/>
                    <w:spacing w:line="240" w:lineRule="auto"/>
                    <w:ind w:left="-110" w:leftChars="-46" w:right="-122" w:rightChars="-51"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办公生活</w:t>
                  </w:r>
                </w:p>
              </w:tc>
              <w:tc>
                <w:tcPr>
                  <w:tcW w:w="582" w:type="dxa"/>
                  <w:noWrap w:val="0"/>
                  <w:vAlign w:val="center"/>
                </w:tcPr>
                <w:p>
                  <w:pPr>
                    <w:shd w:val="clear"/>
                    <w:spacing w:line="240" w:lineRule="auto"/>
                    <w:ind w:left="-113" w:leftChars="-47" w:right="-120" w:rightChars="-50" w:firstLine="16" w:firstLineChars="8"/>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sz w:val="21"/>
                      <w:szCs w:val="21"/>
                      <w:highlight w:val="none"/>
                    </w:rPr>
                    <w:t>固态</w:t>
                  </w:r>
                </w:p>
              </w:tc>
              <w:tc>
                <w:tcPr>
                  <w:tcW w:w="1489" w:type="dxa"/>
                  <w:noWrap w:val="0"/>
                  <w:vAlign w:val="center"/>
                </w:tcPr>
                <w:p>
                  <w:pPr>
                    <w:shd w:val="clear"/>
                    <w:spacing w:line="240" w:lineRule="auto"/>
                    <w:ind w:left="-113" w:leftChars="-47" w:right="-120" w:rightChars="-50" w:firstLine="16" w:firstLineChars="8"/>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rPr>
                    <w:t>废纸屑等</w:t>
                  </w:r>
                </w:p>
              </w:tc>
              <w:tc>
                <w:tcPr>
                  <w:tcW w:w="943" w:type="dxa"/>
                  <w:noWrap w:val="0"/>
                  <w:vAlign w:val="center"/>
                </w:tcPr>
                <w:p>
                  <w:pPr>
                    <w:widowControl/>
                    <w:shd w:val="clear"/>
                    <w:spacing w:line="240" w:lineRule="auto"/>
                    <w:ind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一般固废</w:t>
                  </w:r>
                </w:p>
              </w:tc>
              <w:tc>
                <w:tcPr>
                  <w:tcW w:w="1118" w:type="dxa"/>
                  <w:noWrap w:val="0"/>
                  <w:vAlign w:val="center"/>
                </w:tcPr>
                <w:p>
                  <w:pPr>
                    <w:widowControl/>
                    <w:shd w:val="clear"/>
                    <w:spacing w:line="240" w:lineRule="auto"/>
                    <w:ind w:firstLine="0" w:firstLineChars="0"/>
                    <w:jc w:val="center"/>
                    <w:rPr>
                      <w:rFonts w:ascii="Times New Roman" w:hAnsi="Times New Roman" w:eastAsia="宋体" w:cs="Times New Roman"/>
                      <w:color w:val="auto"/>
                      <w:sz w:val="21"/>
                      <w:szCs w:val="21"/>
                      <w:highlight w:val="none"/>
                      <w:lang w:val="en-US" w:eastAsia="zh-CN" w:bidi="ar-SA"/>
                    </w:rPr>
                  </w:pPr>
                  <w:r>
                    <w:rPr>
                      <w:rFonts w:ascii="Times New Roman" w:hAnsi="Times New Roman"/>
                      <w:color w:val="auto"/>
                      <w:sz w:val="21"/>
                      <w:szCs w:val="21"/>
                      <w:highlight w:val="none"/>
                    </w:rPr>
                    <w:t>/</w:t>
                  </w:r>
                </w:p>
              </w:tc>
              <w:tc>
                <w:tcPr>
                  <w:tcW w:w="992" w:type="dxa"/>
                  <w:noWrap w:val="0"/>
                  <w:vAlign w:val="center"/>
                </w:tcPr>
                <w:p>
                  <w:pPr>
                    <w:widowControl/>
                    <w:shd w:val="clear"/>
                    <w:spacing w:line="240" w:lineRule="auto"/>
                    <w:ind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1.50</w:t>
                  </w:r>
                </w:p>
              </w:tc>
            </w:tr>
          </w:tbl>
          <w:p>
            <w:pPr>
              <w:pStyle w:val="2"/>
              <w:keepNext w:val="0"/>
              <w:keepLines w:val="0"/>
              <w:pageBreakBefore w:val="0"/>
              <w:widowControl w:val="0"/>
              <w:shd w:val="clear"/>
              <w:kinsoku/>
              <w:wordWrap/>
              <w:overflowPunct/>
              <w:topLinePunct w:val="0"/>
              <w:autoSpaceDE/>
              <w:autoSpaceDN/>
              <w:bidi w:val="0"/>
              <w:adjustRightInd/>
              <w:snapToGrid/>
              <w:spacing w:before="164" w:beforeLines="50"/>
              <w:ind w:firstLine="480"/>
              <w:textAlignment w:val="auto"/>
              <w:rPr>
                <w:rFonts w:ascii="Times New Roman" w:hAnsi="Times New Roman"/>
                <w:color w:val="auto"/>
                <w:highlight w:val="none"/>
              </w:rPr>
            </w:pPr>
            <w:r>
              <w:rPr>
                <w:rFonts w:ascii="Times New Roman" w:hAnsi="Times New Roman"/>
                <w:color w:val="auto"/>
                <w:highlight w:val="none"/>
              </w:rPr>
              <w:t>e. 危废汇总情况</w:t>
            </w:r>
          </w:p>
          <w:p>
            <w:pPr>
              <w:keepNext w:val="0"/>
              <w:keepLines w:val="0"/>
              <w:pageBreakBefore w:val="0"/>
              <w:widowControl w:val="0"/>
              <w:shd w:val="clear"/>
              <w:kinsoku/>
              <w:wordWrap/>
              <w:overflowPunct/>
              <w:topLinePunct w:val="0"/>
              <w:autoSpaceDE w:val="0"/>
              <w:autoSpaceDN w:val="0"/>
              <w:bidi w:val="0"/>
              <w:adjustRightInd w:val="0"/>
              <w:snapToGrid/>
              <w:spacing w:line="360" w:lineRule="auto"/>
              <w:ind w:firstLine="480" w:firstLineChars="200"/>
              <w:textAlignment w:val="auto"/>
              <w:rPr>
                <w:rFonts w:ascii="Times New Roman" w:hAnsi="Times New Roman"/>
                <w:color w:val="auto"/>
                <w:highlight w:val="none"/>
              </w:rPr>
            </w:pPr>
            <w:r>
              <w:rPr>
                <w:rFonts w:ascii="Times New Roman" w:hAnsi="Times New Roman"/>
                <w:color w:val="auto"/>
                <w:highlight w:val="none"/>
              </w:rPr>
              <w:t>根据《建设项目危险废物环境影响评价指南》（环境保护部公告2017年第43号），危险废物汇总表见下表。</w:t>
            </w:r>
          </w:p>
          <w:p>
            <w:pPr>
              <w:shd w:val="clear"/>
              <w:adjustRightInd w:val="0"/>
              <w:spacing w:line="240" w:lineRule="auto"/>
              <w:ind w:firstLine="422"/>
              <w:jc w:val="center"/>
              <w:textAlignment w:val="baseline"/>
              <w:rPr>
                <w:rFonts w:ascii="Times New Roman" w:hAnsi="Times New Roman"/>
                <w:b/>
                <w:bCs/>
                <w:color w:val="auto"/>
                <w:sz w:val="24"/>
                <w:szCs w:val="24"/>
                <w:highlight w:val="none"/>
              </w:rPr>
            </w:pPr>
            <w:r>
              <w:rPr>
                <w:rFonts w:ascii="Times New Roman" w:hAnsi="Times New Roman"/>
                <w:b/>
                <w:bCs/>
                <w:color w:val="auto"/>
                <w:sz w:val="24"/>
                <w:szCs w:val="24"/>
                <w:highlight w:val="none"/>
              </w:rPr>
              <w:t>表</w:t>
            </w:r>
            <w:r>
              <w:rPr>
                <w:rFonts w:hint="eastAsia" w:ascii="Times New Roman" w:hAnsi="Times New Roman"/>
                <w:b/>
                <w:bCs/>
                <w:color w:val="auto"/>
                <w:sz w:val="24"/>
                <w:szCs w:val="24"/>
                <w:highlight w:val="none"/>
                <w:lang w:val="en-US" w:eastAsia="zh-CN"/>
              </w:rPr>
              <w:t>14</w:t>
            </w:r>
            <w:r>
              <w:rPr>
                <w:rFonts w:ascii="Times New Roman" w:hAnsi="Times New Roman"/>
                <w:b/>
                <w:bCs/>
                <w:color w:val="auto"/>
                <w:sz w:val="24"/>
                <w:szCs w:val="24"/>
                <w:highlight w:val="none"/>
              </w:rPr>
              <w:t xml:space="preserve">  本项目危险废物汇总表</w:t>
            </w:r>
          </w:p>
          <w:tbl>
            <w:tblPr>
              <w:tblStyle w:val="15"/>
              <w:tblW w:w="84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9"/>
              <w:gridCol w:w="877"/>
              <w:gridCol w:w="701"/>
              <w:gridCol w:w="1103"/>
              <w:gridCol w:w="791"/>
              <w:gridCol w:w="783"/>
              <w:gridCol w:w="539"/>
              <w:gridCol w:w="662"/>
              <w:gridCol w:w="577"/>
              <w:gridCol w:w="625"/>
              <w:gridCol w:w="600"/>
              <w:gridCol w:w="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439"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序号</w:t>
                  </w:r>
                </w:p>
              </w:tc>
              <w:tc>
                <w:tcPr>
                  <w:tcW w:w="877"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危险废</w:t>
                  </w:r>
                </w:p>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物名称</w:t>
                  </w:r>
                </w:p>
              </w:tc>
              <w:tc>
                <w:tcPr>
                  <w:tcW w:w="701"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危险废物类别</w:t>
                  </w:r>
                </w:p>
              </w:tc>
              <w:tc>
                <w:tcPr>
                  <w:tcW w:w="1103"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危险废</w:t>
                  </w:r>
                </w:p>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物代码</w:t>
                  </w:r>
                </w:p>
              </w:tc>
              <w:tc>
                <w:tcPr>
                  <w:tcW w:w="791"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产生量（t/a）</w:t>
                  </w:r>
                </w:p>
              </w:tc>
              <w:tc>
                <w:tcPr>
                  <w:tcW w:w="783"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产生工序及装置</w:t>
                  </w:r>
                </w:p>
              </w:tc>
              <w:tc>
                <w:tcPr>
                  <w:tcW w:w="539"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形态</w:t>
                  </w:r>
                </w:p>
              </w:tc>
              <w:tc>
                <w:tcPr>
                  <w:tcW w:w="662"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主要</w:t>
                  </w:r>
                </w:p>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成分</w:t>
                  </w:r>
                </w:p>
              </w:tc>
              <w:tc>
                <w:tcPr>
                  <w:tcW w:w="577"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有害</w:t>
                  </w:r>
                </w:p>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成分</w:t>
                  </w:r>
                </w:p>
              </w:tc>
              <w:tc>
                <w:tcPr>
                  <w:tcW w:w="625"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产废</w:t>
                  </w:r>
                </w:p>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周期</w:t>
                  </w:r>
                </w:p>
              </w:tc>
              <w:tc>
                <w:tcPr>
                  <w:tcW w:w="600"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危险</w:t>
                  </w:r>
                </w:p>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特性</w:t>
                  </w:r>
                </w:p>
              </w:tc>
              <w:tc>
                <w:tcPr>
                  <w:tcW w:w="756"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439"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1</w:t>
                  </w:r>
                </w:p>
              </w:tc>
              <w:tc>
                <w:tcPr>
                  <w:tcW w:w="877" w:type="dxa"/>
                  <w:noWrap w:val="0"/>
                  <w:vAlign w:val="center"/>
                </w:tcPr>
                <w:p>
                  <w:pPr>
                    <w:shd w:val="clear"/>
                    <w:adjustRightInd w:val="0"/>
                    <w:snapToGrid w:val="0"/>
                    <w:spacing w:line="240" w:lineRule="auto"/>
                    <w:ind w:left="-110" w:leftChars="-46" w:right="-122" w:rightChars="-51"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废抹布</w:t>
                  </w:r>
                </w:p>
              </w:tc>
              <w:tc>
                <w:tcPr>
                  <w:tcW w:w="701" w:type="dxa"/>
                  <w:noWrap w:val="0"/>
                  <w:vAlign w:val="center"/>
                </w:tcPr>
                <w:p>
                  <w:pPr>
                    <w:widowControl/>
                    <w:shd w:val="clear"/>
                    <w:spacing w:line="240" w:lineRule="auto"/>
                    <w:ind w:left="-120" w:leftChars="-50" w:right="-120" w:rightChars="-50"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HW49</w:t>
                  </w:r>
                </w:p>
              </w:tc>
              <w:tc>
                <w:tcPr>
                  <w:tcW w:w="1103" w:type="dxa"/>
                  <w:noWrap w:val="0"/>
                  <w:vAlign w:val="center"/>
                </w:tcPr>
                <w:p>
                  <w:pPr>
                    <w:widowControl/>
                    <w:shd w:val="clear"/>
                    <w:spacing w:line="240" w:lineRule="auto"/>
                    <w:ind w:left="-120" w:leftChars="-50" w:right="-120" w:rightChars="-50"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900-041-49</w:t>
                  </w:r>
                </w:p>
              </w:tc>
              <w:tc>
                <w:tcPr>
                  <w:tcW w:w="791" w:type="dxa"/>
                  <w:noWrap w:val="0"/>
                  <w:vAlign w:val="center"/>
                </w:tcPr>
                <w:p>
                  <w:pPr>
                    <w:widowControl/>
                    <w:shd w:val="clea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0.10</w:t>
                  </w:r>
                </w:p>
              </w:tc>
              <w:tc>
                <w:tcPr>
                  <w:tcW w:w="783" w:type="dxa"/>
                  <w:noWrap w:val="0"/>
                  <w:vAlign w:val="center"/>
                </w:tcPr>
                <w:p>
                  <w:pPr>
                    <w:widowControl/>
                    <w:shd w:val="clear"/>
                    <w:spacing w:line="240" w:lineRule="auto"/>
                    <w:ind w:left="-120" w:leftChars="-50" w:right="-120" w:rightChars="-5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设备</w:t>
                  </w:r>
                  <w:r>
                    <w:rPr>
                      <w:rFonts w:ascii="Times New Roman" w:hAnsi="Times New Roman"/>
                      <w:color w:val="auto"/>
                      <w:kern w:val="0"/>
                      <w:sz w:val="21"/>
                      <w:szCs w:val="21"/>
                      <w:highlight w:val="none"/>
                    </w:rPr>
                    <w:t>擦拭</w:t>
                  </w:r>
                </w:p>
              </w:tc>
              <w:tc>
                <w:tcPr>
                  <w:tcW w:w="539" w:type="dxa"/>
                  <w:noWrap w:val="0"/>
                  <w:vAlign w:val="center"/>
                </w:tcPr>
                <w:p>
                  <w:pPr>
                    <w:widowControl/>
                    <w:shd w:val="clear"/>
                    <w:spacing w:line="240" w:lineRule="auto"/>
                    <w:ind w:left="-120" w:leftChars="-50" w:right="-120" w:rightChars="-50"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固态</w:t>
                  </w:r>
                </w:p>
              </w:tc>
              <w:tc>
                <w:tcPr>
                  <w:tcW w:w="662" w:type="dxa"/>
                  <w:noWrap w:val="0"/>
                  <w:vAlign w:val="center"/>
                </w:tcPr>
                <w:p>
                  <w:pPr>
                    <w:widowControl/>
                    <w:shd w:val="clear"/>
                    <w:spacing w:line="240" w:lineRule="auto"/>
                    <w:ind w:left="-120" w:leftChars="-50" w:right="-120" w:rightChars="-5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有机溶剂、抹布</w:t>
                  </w:r>
                </w:p>
              </w:tc>
              <w:tc>
                <w:tcPr>
                  <w:tcW w:w="577" w:type="dxa"/>
                  <w:noWrap w:val="0"/>
                  <w:vAlign w:val="center"/>
                </w:tcPr>
                <w:p>
                  <w:pPr>
                    <w:widowControl/>
                    <w:shd w:val="clear"/>
                    <w:spacing w:line="240" w:lineRule="auto"/>
                    <w:ind w:left="-120" w:leftChars="-50" w:right="-120" w:rightChars="-5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eastAsia="zh-CN"/>
                    </w:rPr>
                    <w:t>有机物</w:t>
                  </w:r>
                </w:p>
              </w:tc>
              <w:tc>
                <w:tcPr>
                  <w:tcW w:w="625" w:type="dxa"/>
                  <w:noWrap w:val="0"/>
                  <w:vAlign w:val="center"/>
                </w:tcPr>
                <w:p>
                  <w:pPr>
                    <w:widowControl/>
                    <w:shd w:val="clear"/>
                    <w:spacing w:line="240" w:lineRule="auto"/>
                    <w:ind w:left="-120" w:leftChars="-50" w:right="-120" w:rightChars="-50" w:firstLine="0" w:firstLineChars="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color w:val="auto"/>
                      <w:kern w:val="0"/>
                      <w:sz w:val="21"/>
                      <w:szCs w:val="21"/>
                      <w:highlight w:val="none"/>
                      <w:lang w:val="en-US" w:eastAsia="zh-CN"/>
                    </w:rPr>
                    <w:t>1天</w:t>
                  </w:r>
                </w:p>
              </w:tc>
              <w:tc>
                <w:tcPr>
                  <w:tcW w:w="600" w:type="dxa"/>
                  <w:noWrap w:val="0"/>
                  <w:vAlign w:val="center"/>
                </w:tcPr>
                <w:p>
                  <w:pPr>
                    <w:widowControl/>
                    <w:shd w:val="clear"/>
                    <w:spacing w:line="240" w:lineRule="auto"/>
                    <w:ind w:left="-120" w:leftChars="-50" w:right="-120" w:rightChars="-50" w:firstLine="0" w:firstLineChars="0"/>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color w:val="auto"/>
                      <w:kern w:val="0"/>
                      <w:sz w:val="21"/>
                      <w:szCs w:val="21"/>
                      <w:highlight w:val="none"/>
                    </w:rPr>
                    <w:t>T/In</w:t>
                  </w:r>
                </w:p>
              </w:tc>
              <w:tc>
                <w:tcPr>
                  <w:tcW w:w="756" w:type="dxa"/>
                  <w:noWrap w:val="0"/>
                  <w:vAlign w:val="center"/>
                </w:tcPr>
                <w:p>
                  <w:pPr>
                    <w:widowControl/>
                    <w:shd w:val="clear"/>
                    <w:spacing w:line="240" w:lineRule="auto"/>
                    <w:ind w:left="-120" w:leftChars="-50" w:right="-120" w:rightChars="-50" w:firstLine="0" w:firstLineChars="0"/>
                    <w:jc w:val="center"/>
                    <w:rPr>
                      <w:rFonts w:ascii="Times New Roman" w:hAnsi="Times New Roman"/>
                      <w:color w:val="auto"/>
                      <w:kern w:val="0"/>
                      <w:sz w:val="21"/>
                      <w:szCs w:val="21"/>
                      <w:highlight w:val="none"/>
                    </w:rPr>
                  </w:pPr>
                  <w:r>
                    <w:rPr>
                      <w:rFonts w:ascii="Times New Roman" w:hAnsi="Times New Roman"/>
                      <w:color w:val="auto"/>
                      <w:kern w:val="0"/>
                      <w:sz w:val="21"/>
                      <w:szCs w:val="21"/>
                      <w:highlight w:val="none"/>
                    </w:rPr>
                    <w:t>委托有资质单位回收处置</w:t>
                  </w:r>
                </w:p>
              </w:tc>
            </w:tr>
          </w:tbl>
          <w:p>
            <w:pPr>
              <w:keepNext/>
              <w:keepLines/>
              <w:pageBreakBefore w:val="0"/>
              <w:widowControl w:val="0"/>
              <w:shd w:val="clear"/>
              <w:kinsoku/>
              <w:wordWrap/>
              <w:overflowPunct/>
              <w:topLinePunct w:val="0"/>
              <w:autoSpaceDE w:val="0"/>
              <w:autoSpaceDN w:val="0"/>
              <w:bidi w:val="0"/>
              <w:adjustRightInd w:val="0"/>
              <w:snapToGrid/>
              <w:spacing w:before="164" w:beforeLines="50" w:line="360" w:lineRule="auto"/>
              <w:ind w:firstLine="480" w:firstLineChars="200"/>
              <w:textAlignment w:val="auto"/>
              <w:outlineLvl w:val="1"/>
              <w:rPr>
                <w:rFonts w:hint="eastAsia"/>
                <w:b/>
                <w:bCs/>
                <w:color w:val="auto"/>
                <w:kern w:val="0"/>
                <w:highlight w:val="none"/>
              </w:rPr>
            </w:pPr>
            <w:bookmarkStart w:id="0" w:name="_Toc27015"/>
            <w:r>
              <w:rPr>
                <w:rFonts w:ascii="Times New Roman" w:hAnsi="Times New Roman"/>
                <w:color w:val="auto"/>
                <w:highlight w:val="none"/>
              </w:rPr>
              <w:t>由上表可知，本项目各固废均有合理去向，对周围环境不构成影响。</w:t>
            </w:r>
            <w:bookmarkEnd w:id="0"/>
          </w:p>
          <w:p>
            <w:pPr>
              <w:pStyle w:val="37"/>
              <w:pageBreakBefore w:val="0"/>
              <w:widowControl w:val="0"/>
              <w:kinsoku/>
              <w:wordWrap/>
              <w:overflowPunct/>
              <w:topLinePunct w:val="0"/>
              <w:bidi w:val="0"/>
              <w:snapToGrid/>
              <w:spacing w:line="360" w:lineRule="auto"/>
              <w:ind w:firstLine="0"/>
              <w:textAlignment w:val="auto"/>
              <w:rPr>
                <w:rFonts w:ascii="Times New Roman" w:hAnsi="Times New Roman"/>
                <w:b/>
                <w:bCs w:val="0"/>
                <w:color w:val="auto"/>
                <w:sz w:val="24"/>
                <w:szCs w:val="24"/>
                <w:highlight w:val="none"/>
              </w:rPr>
            </w:pPr>
            <w:r>
              <w:rPr>
                <w:rFonts w:ascii="Times New Roman" w:hAnsi="Times New Roman"/>
                <w:b/>
                <w:bCs w:val="0"/>
                <w:color w:val="auto"/>
                <w:sz w:val="24"/>
                <w:szCs w:val="24"/>
                <w:highlight w:val="none"/>
              </w:rPr>
              <w:t>地下水环境影响分析</w:t>
            </w:r>
          </w:p>
          <w:p>
            <w:pPr>
              <w:pStyle w:val="3"/>
              <w:pageBreakBefore w:val="0"/>
              <w:widowControl w:val="0"/>
              <w:kinsoku/>
              <w:wordWrap/>
              <w:overflowPunct/>
              <w:topLinePunct w:val="0"/>
              <w:bidi w:val="0"/>
              <w:snapToGrid/>
              <w:spacing w:before="0" w:after="0" w:line="360" w:lineRule="auto"/>
              <w:textAlignment w:val="auto"/>
              <w:rPr>
                <w:rFonts w:ascii="Times New Roman" w:hAnsi="Times New Roman"/>
                <w:b w:val="0"/>
                <w:bCs/>
                <w:color w:val="auto"/>
                <w:sz w:val="24"/>
                <w:szCs w:val="24"/>
                <w:highlight w:val="none"/>
              </w:rPr>
            </w:pPr>
            <w:r>
              <w:rPr>
                <w:rFonts w:ascii="Times New Roman" w:hAnsi="Times New Roman"/>
                <w:b w:val="0"/>
                <w:bCs/>
                <w:color w:val="auto"/>
                <w:sz w:val="24"/>
                <w:szCs w:val="24"/>
                <w:highlight w:val="none"/>
              </w:rPr>
              <w:t>对照《环境影响评价技术导则—地下水环境》（HJ610-2016）</w:t>
            </w:r>
            <w:r>
              <w:rPr>
                <w:rFonts w:hint="eastAsia" w:ascii="Times New Roman" w:hAnsi="Times New Roman"/>
                <w:b w:val="0"/>
                <w:bCs/>
                <w:color w:val="auto"/>
                <w:sz w:val="24"/>
                <w:szCs w:val="24"/>
                <w:highlight w:val="none"/>
              </w:rPr>
              <w:t>附录A</w:t>
            </w:r>
            <w:r>
              <w:rPr>
                <w:rFonts w:ascii="Times New Roman" w:hAnsi="Times New Roman"/>
                <w:b w:val="0"/>
                <w:bCs/>
                <w:color w:val="auto"/>
                <w:sz w:val="24"/>
                <w:szCs w:val="24"/>
                <w:highlight w:val="none"/>
              </w:rPr>
              <w:t>，本项目属于IV类项目，无需开展地下水环境影响评价。</w:t>
            </w:r>
          </w:p>
          <w:p>
            <w:pPr>
              <w:pStyle w:val="3"/>
              <w:pageBreakBefore w:val="0"/>
              <w:widowControl w:val="0"/>
              <w:kinsoku/>
              <w:wordWrap/>
              <w:overflowPunct/>
              <w:topLinePunct w:val="0"/>
              <w:bidi w:val="0"/>
              <w:snapToGrid/>
              <w:spacing w:before="0" w:after="0" w:line="360" w:lineRule="auto"/>
              <w:ind w:left="0" w:leftChars="0" w:firstLine="0" w:firstLineChars="0"/>
              <w:textAlignment w:val="auto"/>
              <w:rPr>
                <w:rFonts w:hint="eastAsia" w:ascii="Times New Roman" w:hAnsi="Times New Roman"/>
                <w:b/>
                <w:bCs w:val="0"/>
                <w:color w:val="auto"/>
                <w:sz w:val="24"/>
                <w:szCs w:val="24"/>
                <w:highlight w:val="none"/>
                <w:lang w:val="en-US" w:eastAsia="zh-CN"/>
              </w:rPr>
            </w:pPr>
            <w:r>
              <w:rPr>
                <w:rFonts w:hint="eastAsia" w:ascii="Times New Roman" w:hAnsi="Times New Roman"/>
                <w:b/>
                <w:bCs w:val="0"/>
                <w:color w:val="auto"/>
                <w:sz w:val="24"/>
                <w:szCs w:val="24"/>
                <w:highlight w:val="none"/>
                <w:lang w:val="en-US" w:eastAsia="zh-CN"/>
              </w:rPr>
              <w:t>土壤环境影响分析：</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eastAsia" w:ascii="Times New Roman" w:hAnsi="Times New Roman"/>
                <w:b w:val="0"/>
                <w:bCs/>
                <w:color w:val="auto"/>
                <w:sz w:val="24"/>
                <w:szCs w:val="24"/>
                <w:highlight w:val="none"/>
                <w:lang w:val="en-US" w:eastAsia="zh-CN"/>
              </w:rPr>
            </w:pPr>
            <w:r>
              <w:rPr>
                <w:rFonts w:hint="eastAsia" w:ascii="Times New Roman" w:hAnsi="Times New Roman"/>
                <w:b w:val="0"/>
                <w:bCs/>
                <w:color w:val="auto"/>
                <w:sz w:val="24"/>
                <w:szCs w:val="24"/>
                <w:highlight w:val="none"/>
                <w:lang w:val="en-US" w:eastAsia="zh-CN"/>
              </w:rPr>
              <w:t>对照《环境影响评价技术导则—土壤环境》（HJ964-2018）附录A，本项目属于IV类项目，项目占地规模为小型，用地性质为工业用地，所在区域属于非敏感区，因此，本项目无需开展土壤环境影响。</w:t>
            </w:r>
          </w:p>
          <w:p>
            <w:pPr>
              <w:pStyle w:val="3"/>
              <w:pageBreakBefore w:val="0"/>
              <w:widowControl w:val="0"/>
              <w:kinsoku/>
              <w:wordWrap/>
              <w:overflowPunct/>
              <w:topLinePunct w:val="0"/>
              <w:bidi w:val="0"/>
              <w:snapToGrid/>
              <w:spacing w:before="0" w:after="0" w:line="360" w:lineRule="auto"/>
              <w:ind w:left="0" w:leftChars="0" w:firstLine="0" w:firstLineChars="0"/>
              <w:textAlignment w:val="auto"/>
              <w:rPr>
                <w:rFonts w:hint="eastAsia" w:ascii="Times New Roman" w:hAnsi="Times New Roman"/>
                <w:b/>
                <w:bCs w:val="0"/>
                <w:color w:val="auto"/>
                <w:sz w:val="24"/>
                <w:szCs w:val="24"/>
                <w:highlight w:val="none"/>
                <w:lang w:val="en-US" w:eastAsia="zh-CN"/>
              </w:rPr>
            </w:pPr>
            <w:r>
              <w:rPr>
                <w:rFonts w:hint="eastAsia" w:ascii="Times New Roman" w:hAnsi="Times New Roman"/>
                <w:b/>
                <w:bCs w:val="0"/>
                <w:color w:val="auto"/>
                <w:sz w:val="24"/>
                <w:szCs w:val="24"/>
                <w:highlight w:val="none"/>
                <w:lang w:val="en-US" w:eastAsia="zh-CN"/>
              </w:rPr>
              <w:t>风险评价：</w:t>
            </w:r>
          </w:p>
          <w:p>
            <w:pPr>
              <w:pStyle w:val="3"/>
              <w:spacing w:before="0" w:after="0" w:line="360" w:lineRule="auto"/>
              <w:ind w:firstLine="480"/>
              <w:rPr>
                <w:rFonts w:hint="eastAsia" w:ascii="Times New Roman" w:hAnsi="Times New Roman"/>
                <w:b w:val="0"/>
                <w:bCs w:val="0"/>
                <w:color w:val="auto"/>
                <w:sz w:val="24"/>
                <w:szCs w:val="24"/>
                <w:highlight w:val="none"/>
                <w:lang w:eastAsia="zh-CN"/>
              </w:rPr>
            </w:pPr>
            <w:r>
              <w:rPr>
                <w:rFonts w:hint="eastAsia" w:ascii="Times New Roman" w:hAnsi="Times New Roman" w:eastAsia="Times New Roman"/>
                <w:b w:val="0"/>
                <w:color w:val="auto"/>
                <w:sz w:val="24"/>
                <w:lang w:val="en-US" w:eastAsia="zh-CN"/>
              </w:rPr>
              <w:t>本项目涉及的风险物质主要为研发过程产生的危险废物，危险废物为有毒有害物质，因此，本项目主要环境风险为火灾爆炸事件及危害人群健康事件。根据《建设项目环境风险评价技术导则》 (HJ 169-2018)附录 C，危险废物的临界量为50t/a。</w:t>
            </w:r>
            <w:r>
              <w:rPr>
                <w:rFonts w:hint="eastAsia" w:ascii="Times New Roman" w:hAnsi="Times New Roman"/>
                <w:b w:val="0"/>
                <w:bCs w:val="0"/>
                <w:color w:val="auto"/>
                <w:sz w:val="24"/>
                <w:szCs w:val="24"/>
                <w:highlight w:val="none"/>
                <w:lang w:val="en-US" w:eastAsia="zh-CN"/>
              </w:rPr>
              <w:t>本项目，</w:t>
            </w:r>
            <w:r>
              <w:rPr>
                <w:rFonts w:hint="eastAsia" w:ascii="Times New Roman" w:hAnsi="Times New Roman" w:eastAsia="Times New Roman"/>
                <w:b w:val="0"/>
                <w:color w:val="auto"/>
                <w:sz w:val="24"/>
                <w:lang w:val="en-US" w:eastAsia="zh-CN"/>
              </w:rPr>
              <w:t>危险废物的年产生量约为0.1t/a，</w:t>
            </w:r>
            <w:r>
              <w:rPr>
                <w:rFonts w:hint="eastAsia" w:ascii="Times New Roman" w:hAnsi="Times New Roman"/>
                <w:b w:val="0"/>
                <w:bCs w:val="0"/>
                <w:color w:val="auto"/>
                <w:sz w:val="24"/>
                <w:szCs w:val="24"/>
                <w:highlight w:val="none"/>
                <w:lang w:val="en-US" w:eastAsia="zh-CN"/>
              </w:rPr>
              <w:t>均远低于其临界量。因此，Q＜1（Q为</w:t>
            </w:r>
            <w:r>
              <w:rPr>
                <w:rFonts w:hint="eastAsia" w:ascii="Times New Roman" w:hAnsi="Times New Roman" w:eastAsia="Times New Roman"/>
                <w:b w:val="0"/>
                <w:color w:val="auto"/>
                <w:sz w:val="24"/>
                <w:lang w:val="en-US" w:eastAsia="zh-CN"/>
              </w:rPr>
              <w:t>危险物质在场界内的最大存储总量与其在附录 B 中对应临界量的比值</w:t>
            </w:r>
            <w:r>
              <w:rPr>
                <w:rFonts w:hint="eastAsia" w:ascii="Times New Roman" w:hAnsi="Times New Roman"/>
                <w:b w:val="0"/>
                <w:bCs w:val="0"/>
                <w:color w:val="auto"/>
                <w:sz w:val="24"/>
                <w:szCs w:val="24"/>
                <w:highlight w:val="none"/>
                <w:lang w:val="en-US" w:eastAsia="zh-CN"/>
              </w:rPr>
              <w:t>）</w:t>
            </w:r>
            <w:r>
              <w:rPr>
                <w:rFonts w:hint="eastAsia" w:ascii="Times New Roman" w:hAnsi="Times New Roman"/>
                <w:b w:val="0"/>
                <w:bCs w:val="0"/>
                <w:color w:val="auto"/>
                <w:sz w:val="24"/>
                <w:szCs w:val="24"/>
                <w:highlight w:val="none"/>
                <w:lang w:eastAsia="zh-CN"/>
              </w:rPr>
              <w:t>。根据《建设项目环境风险评价技术导则》（HJ169－2018）附录C可知，本项目环境风险潜势为I。</w:t>
            </w:r>
          </w:p>
          <w:p>
            <w:pPr>
              <w:pStyle w:val="2"/>
              <w:ind w:firstLine="480"/>
              <w:rPr>
                <w:rFonts w:hint="default" w:ascii="Times New Roman" w:hAnsi="Times New Roman" w:eastAsia="Times New Roman"/>
                <w:b w:val="0"/>
                <w:color w:val="auto"/>
                <w:sz w:val="24"/>
                <w:lang w:val="en-US" w:eastAsia="zh-CN"/>
              </w:rPr>
            </w:pPr>
            <w:r>
              <w:rPr>
                <w:rFonts w:hint="eastAsia" w:ascii="Times New Roman" w:hAnsi="Times New Roman"/>
                <w:color w:val="auto"/>
                <w:szCs w:val="32"/>
                <w:lang w:eastAsia="zh-CN"/>
              </w:rPr>
              <w:t>本项目固体废物实行分类收集和处置，危险废物贮存设施依托现有项目危废仓库，经收集后委托有资质单位处置，现有危废仓库地面进行了硬化，并进行了防腐防渗处理，符合“四防”要求，本项目危险废物产生量较少，且严格执行分类收集和处置措施，有效避免了危废的泄漏，</w:t>
            </w:r>
            <w:r>
              <w:rPr>
                <w:rFonts w:hint="eastAsia" w:ascii="Times New Roman" w:hAnsi="Times New Roman" w:eastAsia="Times New Roman"/>
                <w:b w:val="0"/>
                <w:color w:val="auto"/>
                <w:sz w:val="24"/>
                <w:lang w:val="en-US" w:eastAsia="zh-CN"/>
              </w:rPr>
              <w:t>在落实上述风险防范措施后，本项目的环境风险发生概率可进一步降低，对周边环境的影响将进一步下降，环境风险可控。</w:t>
            </w:r>
          </w:p>
          <w:p>
            <w:pPr>
              <w:shd w:val="clear"/>
              <w:spacing w:line="360" w:lineRule="auto"/>
              <w:rPr>
                <w:rFonts w:hint="eastAsia" w:ascii="Times New Roman" w:hAnsi="Times New Roman"/>
                <w:b/>
                <w:bCs/>
                <w:color w:val="auto"/>
                <w:highlight w:val="none"/>
              </w:rPr>
            </w:pPr>
            <w:r>
              <w:rPr>
                <w:rFonts w:hint="eastAsia" w:ascii="Times New Roman" w:hAnsi="Times New Roman"/>
                <w:b/>
                <w:bCs/>
                <w:color w:val="auto"/>
                <w:highlight w:val="none"/>
              </w:rPr>
              <w:t>总量控制：</w:t>
            </w:r>
          </w:p>
          <w:p>
            <w:pPr>
              <w:shd w:val="clear"/>
              <w:spacing w:line="360" w:lineRule="auto"/>
              <w:ind w:firstLine="480" w:firstLineChars="200"/>
              <w:rPr>
                <w:rFonts w:hint="eastAsia" w:ascii="Times New Roman" w:hAnsi="Times New Roman"/>
                <w:color w:val="auto"/>
                <w:highlight w:val="none"/>
              </w:rPr>
            </w:pPr>
            <w:r>
              <w:rPr>
                <w:rFonts w:hint="eastAsia" w:ascii="Times New Roman" w:hAnsi="Times New Roman"/>
                <w:color w:val="auto"/>
                <w:highlight w:val="none"/>
              </w:rPr>
              <w:t>根据《海宁市主要污染物排污权总量指标管理办法（试行）》（海政发〔</w:t>
            </w:r>
            <w:r>
              <w:rPr>
                <w:rFonts w:ascii="Times New Roman" w:hAnsi="Times New Roman"/>
                <w:color w:val="auto"/>
                <w:highlight w:val="none"/>
              </w:rPr>
              <w:t>2017</w:t>
            </w:r>
            <w:r>
              <w:rPr>
                <w:rFonts w:hint="eastAsia" w:ascii="Times New Roman" w:hAnsi="Times New Roman"/>
                <w:color w:val="auto"/>
                <w:highlight w:val="none"/>
              </w:rPr>
              <w:t>〕</w:t>
            </w:r>
            <w:r>
              <w:rPr>
                <w:rFonts w:ascii="Times New Roman" w:hAnsi="Times New Roman"/>
                <w:color w:val="auto"/>
                <w:highlight w:val="none"/>
              </w:rPr>
              <w:t>54</w:t>
            </w:r>
            <w:r>
              <w:rPr>
                <w:rFonts w:hint="eastAsia" w:ascii="Times New Roman" w:hAnsi="Times New Roman"/>
                <w:color w:val="auto"/>
                <w:highlight w:val="none"/>
              </w:rPr>
              <w:t>号）文件规定：</w:t>
            </w:r>
            <w:r>
              <w:rPr>
                <w:rFonts w:ascii="Times New Roman" w:hAnsi="Times New Roman"/>
                <w:color w:val="auto"/>
                <w:highlight w:val="none"/>
              </w:rPr>
              <w:t>“</w:t>
            </w:r>
            <w:r>
              <w:rPr>
                <w:rFonts w:hint="eastAsia" w:ascii="Times New Roman" w:hAnsi="Times New Roman"/>
                <w:color w:val="auto"/>
                <w:highlight w:val="none"/>
              </w:rPr>
              <w:t>第十五条　企业新增化学需氧量、氨氮、二氧化硫、氮氧化物、总氮、挥发性有机物总量，其削减替代比例不低于</w:t>
            </w:r>
            <w:r>
              <w:rPr>
                <w:rFonts w:ascii="Times New Roman" w:hAnsi="Times New Roman"/>
                <w:color w:val="auto"/>
                <w:highlight w:val="none"/>
              </w:rPr>
              <w:t>1:2</w:t>
            </w:r>
            <w:r>
              <w:rPr>
                <w:rFonts w:hint="eastAsia" w:ascii="Times New Roman" w:hAnsi="Times New Roman"/>
                <w:color w:val="auto"/>
                <w:highlight w:val="none"/>
              </w:rPr>
              <w:t>（含二级市场交易）；只产生生活污水，化学需氧量排放量小于</w:t>
            </w:r>
            <w:r>
              <w:rPr>
                <w:rFonts w:ascii="Times New Roman" w:hAnsi="Times New Roman"/>
                <w:color w:val="auto"/>
                <w:highlight w:val="none"/>
              </w:rPr>
              <w:t>0.1</w:t>
            </w:r>
            <w:r>
              <w:rPr>
                <w:rFonts w:hint="eastAsia" w:ascii="Times New Roman" w:hAnsi="Times New Roman"/>
                <w:color w:val="auto"/>
                <w:highlight w:val="none"/>
              </w:rPr>
              <w:t>吨</w:t>
            </w:r>
            <w:r>
              <w:rPr>
                <w:rFonts w:ascii="Times New Roman" w:hAnsi="Times New Roman"/>
                <w:color w:val="auto"/>
                <w:highlight w:val="none"/>
              </w:rPr>
              <w:t>/</w:t>
            </w:r>
            <w:r>
              <w:rPr>
                <w:rFonts w:hint="eastAsia" w:ascii="Times New Roman" w:hAnsi="Times New Roman"/>
                <w:color w:val="auto"/>
                <w:highlight w:val="none"/>
              </w:rPr>
              <w:t>年，挥发性有机物排放量小于</w:t>
            </w:r>
            <w:r>
              <w:rPr>
                <w:rFonts w:ascii="Times New Roman" w:hAnsi="Times New Roman"/>
                <w:color w:val="auto"/>
                <w:highlight w:val="none"/>
              </w:rPr>
              <w:t>1</w:t>
            </w:r>
            <w:r>
              <w:rPr>
                <w:rFonts w:hint="eastAsia" w:ascii="Times New Roman" w:hAnsi="Times New Roman"/>
                <w:color w:val="auto"/>
                <w:highlight w:val="none"/>
              </w:rPr>
              <w:t>吨</w:t>
            </w:r>
            <w:r>
              <w:rPr>
                <w:rFonts w:ascii="Times New Roman" w:hAnsi="Times New Roman"/>
                <w:color w:val="auto"/>
                <w:highlight w:val="none"/>
              </w:rPr>
              <w:t>/</w:t>
            </w:r>
            <w:r>
              <w:rPr>
                <w:rFonts w:hint="eastAsia" w:ascii="Times New Roman" w:hAnsi="Times New Roman"/>
                <w:color w:val="auto"/>
                <w:highlight w:val="none"/>
              </w:rPr>
              <w:t>年，采用成型生物质、轻质柴油、天然气等清洁能源作为燃料的建设项目，暂不实施总量控制制度</w:t>
            </w:r>
            <w:r>
              <w:rPr>
                <w:rFonts w:ascii="Times New Roman" w:hAnsi="Times New Roman"/>
                <w:color w:val="auto"/>
                <w:highlight w:val="none"/>
              </w:rPr>
              <w:t>”</w:t>
            </w:r>
            <w:r>
              <w:rPr>
                <w:rFonts w:hint="eastAsia" w:ascii="Times New Roman" w:hAnsi="Times New Roman"/>
                <w:color w:val="auto"/>
                <w:highlight w:val="none"/>
              </w:rPr>
              <w:t>。</w:t>
            </w:r>
          </w:p>
          <w:p>
            <w:pPr>
              <w:shd w:val="clear"/>
              <w:spacing w:line="360" w:lineRule="auto"/>
              <w:ind w:firstLine="480" w:firstLineChars="200"/>
              <w:jc w:val="both"/>
              <w:rPr>
                <w:rFonts w:ascii="Times New Roman" w:hAnsi="Times New Roman"/>
                <w:color w:val="auto"/>
                <w:highlight w:val="none"/>
              </w:rPr>
            </w:pPr>
            <w:r>
              <w:rPr>
                <w:rFonts w:hint="default" w:ascii="Times New Roman" w:hAnsi="Times New Roman" w:cs="Times New Roman"/>
                <w:color w:val="auto"/>
                <w:highlight w:val="none"/>
                <w:lang w:eastAsia="zh-CN"/>
              </w:rPr>
              <w:t>本项目</w:t>
            </w:r>
            <w:r>
              <w:rPr>
                <w:rFonts w:hint="default" w:ascii="Times New Roman" w:hAnsi="Times New Roman" w:cs="Times New Roman"/>
                <w:color w:val="auto"/>
                <w:highlight w:val="none"/>
                <w:lang w:val="en-US" w:eastAsia="zh-CN"/>
              </w:rPr>
              <w:t>无生产废水排放，不新增VOCs总量，</w:t>
            </w:r>
            <w:r>
              <w:rPr>
                <w:rFonts w:hint="default" w:ascii="Times New Roman" w:hAnsi="Times New Roman" w:cs="Times New Roman"/>
                <w:color w:val="auto"/>
                <w:highlight w:val="none"/>
                <w:lang w:eastAsia="zh-CN"/>
              </w:rPr>
              <w:t>故</w:t>
            </w:r>
            <w:r>
              <w:rPr>
                <w:rFonts w:hint="default" w:ascii="Times New Roman" w:hAnsi="Times New Roman" w:cs="Times New Roman"/>
                <w:color w:val="auto"/>
                <w:highlight w:val="none"/>
              </w:rPr>
              <w:t>本项目COD</w:t>
            </w:r>
            <w:r>
              <w:rPr>
                <w:rFonts w:hint="default" w:ascii="Times New Roman" w:hAnsi="Times New Roman" w:cs="Times New Roman"/>
                <w:color w:val="auto"/>
                <w:highlight w:val="none"/>
                <w:vertAlign w:val="subscript"/>
              </w:rPr>
              <w:t>Cr</w:t>
            </w: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r>
              <w:rPr>
                <w:rFonts w:hint="default" w:ascii="Times New Roman" w:hAnsi="Times New Roman" w:cs="Times New Roman"/>
                <w:color w:val="auto"/>
                <w:highlight w:val="none"/>
                <w:lang w:val="en-US" w:eastAsia="zh-CN"/>
              </w:rPr>
              <w:t>无</w:t>
            </w:r>
            <w:r>
              <w:rPr>
                <w:rFonts w:hint="default" w:ascii="Times New Roman" w:hAnsi="Times New Roman" w:cs="Times New Roman"/>
                <w:color w:val="auto"/>
                <w:highlight w:val="none"/>
              </w:rPr>
              <w:t>需进行区域替代削减</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总量控制值分别为：</w:t>
            </w:r>
            <w:r>
              <w:rPr>
                <w:rFonts w:hint="default" w:ascii="Times New Roman" w:hAnsi="Times New Roman" w:cs="Times New Roman"/>
                <w:color w:val="auto"/>
                <w:highlight w:val="none"/>
              </w:rPr>
              <w:t>COD</w:t>
            </w:r>
            <w:r>
              <w:rPr>
                <w:rFonts w:hint="default" w:ascii="Times New Roman" w:hAnsi="Times New Roman" w:cs="Times New Roman"/>
                <w:color w:val="auto"/>
                <w:highlight w:val="none"/>
                <w:vertAlign w:val="subscript"/>
              </w:rPr>
              <w:t>Cr</w:t>
            </w:r>
            <w:r>
              <w:rPr>
                <w:rFonts w:hint="default" w:ascii="Times New Roman" w:hAnsi="Times New Roman" w:cs="Times New Roman"/>
                <w:color w:val="auto"/>
                <w:highlight w:val="none"/>
                <w:lang w:val="en-US" w:eastAsia="zh-CN"/>
              </w:rPr>
              <w:t xml:space="preserve"> 0.013t/a、</w:t>
            </w: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r>
              <w:rPr>
                <w:rFonts w:hint="default" w:ascii="Times New Roman" w:hAnsi="Times New Roman" w:cs="Times New Roman"/>
                <w:color w:val="auto"/>
                <w:highlight w:val="none"/>
                <w:lang w:val="en-US" w:eastAsia="zh-CN"/>
              </w:rPr>
              <w:t>0.001t/a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符合总量控制要求。</w:t>
            </w:r>
          </w:p>
        </w:tc>
      </w:tr>
      <w:tr>
        <w:tblPrEx>
          <w:tblCellMar>
            <w:top w:w="0" w:type="dxa"/>
            <w:left w:w="0" w:type="dxa"/>
            <w:bottom w:w="0" w:type="dxa"/>
            <w:right w:w="0" w:type="dxa"/>
          </w:tblCellMar>
        </w:tblPrEx>
        <w:trPr>
          <w:trHeight w:val="3507" w:hRule="atLeast"/>
          <w:jc w:val="center"/>
        </w:trPr>
        <w:tc>
          <w:tcPr>
            <w:tcW w:w="140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r>
              <w:rPr>
                <w:rFonts w:ascii="Times New Roman" w:hAnsi="Times New Roman"/>
                <w:color w:val="auto"/>
                <w:highlight w:val="none"/>
              </w:rPr>
              <w:br w:type="page"/>
            </w:r>
            <w:r>
              <w:rPr>
                <w:rFonts w:hint="eastAsia" w:ascii="Times New Roman" w:hAnsi="Times New Roman"/>
                <w:b/>
                <w:color w:val="auto"/>
                <w:highlight w:val="none"/>
              </w:rPr>
              <w:t>采取的环保措施及排放去向</w:t>
            </w:r>
          </w:p>
        </w:tc>
        <w:tc>
          <w:tcPr>
            <w:tcW w:w="8372" w:type="dxa"/>
            <w:gridSpan w:val="7"/>
            <w:tcBorders>
              <w:top w:val="single" w:color="000000" w:sz="6" w:space="0"/>
              <w:left w:val="single" w:color="000000" w:sz="6" w:space="0"/>
              <w:bottom w:val="single" w:color="000000" w:sz="6" w:space="0"/>
              <w:right w:val="single" w:color="000000" w:sz="6" w:space="0"/>
            </w:tcBorders>
            <w:shd w:val="clear" w:color="auto" w:fill="FFFFFF"/>
          </w:tcPr>
          <w:p>
            <w:pPr>
              <w:keepNext w:val="0"/>
              <w:keepLines w:val="0"/>
              <w:pageBreakBefore w:val="0"/>
              <w:widowControl w:val="0"/>
              <w:shd w:val="clear"/>
              <w:kinsoku/>
              <w:wordWrap/>
              <w:overflowPunct/>
              <w:topLinePunct w:val="0"/>
              <w:autoSpaceDE w:val="0"/>
              <w:autoSpaceDN w:val="0"/>
              <w:bidi w:val="0"/>
              <w:adjustRightInd w:val="0"/>
              <w:snapToGrid/>
              <w:spacing w:line="360" w:lineRule="auto"/>
              <w:jc w:val="both"/>
              <w:textAlignment w:val="auto"/>
            </w:pPr>
            <w:r>
              <w:rPr>
                <w:rFonts w:hint="eastAsia"/>
                <w:b/>
                <w:bCs/>
              </w:rPr>
              <w:t>废水</w:t>
            </w:r>
            <w:r>
              <w:rPr>
                <w:rFonts w:hint="eastAsia"/>
                <w:b/>
                <w:bCs/>
                <w:lang w:eastAsia="zh-CN"/>
              </w:rPr>
              <w:t>：</w:t>
            </w:r>
            <w:r>
              <w:rPr>
                <w:rFonts w:hint="eastAsia"/>
                <w:lang w:val="en-US" w:eastAsia="zh-CN"/>
              </w:rPr>
              <w:t>项目生产过程无废水排放</w:t>
            </w:r>
            <w:r>
              <w:rPr>
                <w:rFonts w:hint="eastAsia"/>
                <w:lang w:eastAsia="zh-CN"/>
              </w:rPr>
              <w:t>、生活污水经化粪池预处理后达</w:t>
            </w:r>
            <w:r>
              <w:rPr>
                <w:rFonts w:hint="eastAsia"/>
              </w:rPr>
              <w:t>《污水综合排放标准》（</w:t>
            </w:r>
            <w:r>
              <w:t>GB8978-1996</w:t>
            </w:r>
            <w:r>
              <w:rPr>
                <w:rFonts w:hint="eastAsia"/>
              </w:rPr>
              <w:t>）三级标准纳入</w:t>
            </w:r>
            <w:r>
              <w:rPr>
                <w:rFonts w:hint="eastAsia"/>
                <w:lang w:val="en-US" w:eastAsia="zh-CN"/>
              </w:rPr>
              <w:t>市政</w:t>
            </w:r>
            <w:r>
              <w:rPr>
                <w:rFonts w:hint="eastAsia"/>
              </w:rPr>
              <w:t>污水管网，最终由</w:t>
            </w:r>
            <w:r>
              <w:rPr>
                <w:rFonts w:hint="eastAsia"/>
                <w:lang w:eastAsia="zh-CN"/>
              </w:rPr>
              <w:t>丁桥污水处理厂</w:t>
            </w:r>
            <w:r>
              <w:rPr>
                <w:rFonts w:hint="eastAsia"/>
              </w:rPr>
              <w:t>处理达到《城镇污水处理厂污染物排放标准》（</w:t>
            </w:r>
            <w:r>
              <w:t>GB18918-2002</w:t>
            </w:r>
            <w:r>
              <w:rPr>
                <w:rFonts w:hint="eastAsia"/>
              </w:rPr>
              <w:t>）一级</w:t>
            </w:r>
            <w:r>
              <w:t>A</w:t>
            </w:r>
            <w:r>
              <w:rPr>
                <w:rFonts w:hint="eastAsia"/>
              </w:rPr>
              <w:t>准后排放。</w:t>
            </w:r>
          </w:p>
          <w:p>
            <w:pPr>
              <w:keepNext w:val="0"/>
              <w:keepLines w:val="0"/>
              <w:pageBreakBefore w:val="0"/>
              <w:widowControl w:val="0"/>
              <w:shd w:val="clear"/>
              <w:kinsoku/>
              <w:wordWrap/>
              <w:overflowPunct/>
              <w:topLinePunct w:val="0"/>
              <w:autoSpaceDE w:val="0"/>
              <w:autoSpaceDN w:val="0"/>
              <w:bidi w:val="0"/>
              <w:adjustRightInd w:val="0"/>
              <w:snapToGrid/>
              <w:spacing w:line="360" w:lineRule="auto"/>
              <w:jc w:val="both"/>
              <w:textAlignment w:val="auto"/>
              <w:rPr>
                <w:rFonts w:hint="eastAsia"/>
                <w:lang w:val="en-US" w:eastAsia="zh-CN"/>
              </w:rPr>
            </w:pPr>
            <w:r>
              <w:rPr>
                <w:rFonts w:hint="eastAsia"/>
                <w:b/>
                <w:bCs/>
              </w:rPr>
              <w:t>废气</w:t>
            </w:r>
            <w:r>
              <w:rPr>
                <w:rFonts w:hint="eastAsia"/>
                <w:b/>
                <w:bCs/>
                <w:lang w:eastAsia="zh-CN"/>
              </w:rPr>
              <w:t>：</w:t>
            </w:r>
            <w:r>
              <w:rPr>
                <w:rFonts w:hint="eastAsia"/>
                <w:lang w:eastAsia="zh-CN"/>
              </w:rPr>
              <w:t>本项目试制及小试过程废气产生量极少，经实验室换气系统排出，对周边环境影响较小。食堂依托现有项目食堂，食堂油烟经油烟净化装置净化后高空排放。</w:t>
            </w:r>
          </w:p>
          <w:p>
            <w:pPr>
              <w:keepNext w:val="0"/>
              <w:keepLines w:val="0"/>
              <w:pageBreakBefore w:val="0"/>
              <w:widowControl w:val="0"/>
              <w:shd w:val="clear"/>
              <w:kinsoku/>
              <w:wordWrap/>
              <w:overflowPunct/>
              <w:topLinePunct w:val="0"/>
              <w:autoSpaceDE w:val="0"/>
              <w:autoSpaceDN w:val="0"/>
              <w:bidi w:val="0"/>
              <w:adjustRightInd w:val="0"/>
              <w:snapToGrid/>
              <w:spacing w:line="360" w:lineRule="auto"/>
              <w:jc w:val="both"/>
              <w:textAlignment w:val="auto"/>
            </w:pPr>
            <w:r>
              <w:rPr>
                <w:rFonts w:hint="eastAsia"/>
                <w:b/>
                <w:bCs/>
              </w:rPr>
              <w:t>噪声</w:t>
            </w:r>
            <w:r>
              <w:rPr>
                <w:rFonts w:hint="eastAsia"/>
                <w:b/>
                <w:bCs/>
                <w:lang w:eastAsia="zh-CN"/>
              </w:rPr>
              <w:t>：</w:t>
            </w:r>
            <w:r>
              <w:rPr>
                <w:rFonts w:hint="eastAsia"/>
                <w:lang w:val="en-US" w:eastAsia="zh-CN"/>
              </w:rPr>
              <w:t>合理布局，将高噪声设备置于车间中心，生产时关闭门窗；选用低噪声设备，并注意维护设备，防止因设备故障形成的非正常生产噪声。</w:t>
            </w:r>
            <w:r>
              <w:rPr>
                <w:rFonts w:hint="eastAsia"/>
              </w:rPr>
              <w:t>通过设备和厂房的合理布局、利用厂房的阻隔和距离的衰减降噪，确保厂界噪声贡献值达《工业企业厂界环境噪声排放标准》（</w:t>
            </w:r>
            <w:r>
              <w:t>GB12348-2008</w:t>
            </w:r>
            <w:r>
              <w:rPr>
                <w:rFonts w:hint="eastAsia"/>
              </w:rPr>
              <w:t>）</w:t>
            </w:r>
            <w:r>
              <w:t>3</w:t>
            </w:r>
            <w:r>
              <w:rPr>
                <w:rFonts w:hint="eastAsia"/>
              </w:rPr>
              <w:t>类标准要求。</w:t>
            </w:r>
          </w:p>
          <w:p>
            <w:pPr>
              <w:keepNext w:val="0"/>
              <w:keepLines w:val="0"/>
              <w:pageBreakBefore w:val="0"/>
              <w:widowControl w:val="0"/>
              <w:shd w:val="clear"/>
              <w:kinsoku/>
              <w:wordWrap/>
              <w:overflowPunct/>
              <w:topLinePunct w:val="0"/>
              <w:autoSpaceDE w:val="0"/>
              <w:autoSpaceDN w:val="0"/>
              <w:bidi w:val="0"/>
              <w:adjustRightInd w:val="0"/>
              <w:snapToGrid/>
              <w:spacing w:line="360" w:lineRule="auto"/>
              <w:jc w:val="both"/>
              <w:textAlignment w:val="auto"/>
              <w:rPr>
                <w:rFonts w:hint="eastAsia"/>
                <w:lang w:val="en-US" w:eastAsia="zh-CN"/>
              </w:rPr>
            </w:pPr>
            <w:r>
              <w:rPr>
                <w:rFonts w:hint="eastAsia"/>
                <w:b/>
                <w:bCs/>
              </w:rPr>
              <w:t>固废</w:t>
            </w:r>
            <w:r>
              <w:rPr>
                <w:rFonts w:hint="eastAsia"/>
                <w:b/>
                <w:bCs/>
                <w:lang w:eastAsia="zh-CN"/>
              </w:rPr>
              <w:t>：</w:t>
            </w:r>
            <w:r>
              <w:rPr>
                <w:rFonts w:hint="eastAsia"/>
                <w:lang w:val="en-US" w:eastAsia="zh-CN"/>
              </w:rPr>
              <w:t>固废实行分类收集和处理，其中一般固废视其性质采取资源化等方式处理、危险废物收集后委托有资质单位处置，生活垃圾环卫清运。</w:t>
            </w:r>
          </w:p>
          <w:p>
            <w:pPr>
              <w:pStyle w:val="2"/>
              <w:ind w:left="0" w:leftChars="0" w:firstLine="0" w:firstLineChars="0"/>
            </w:pPr>
            <w:r>
              <w:rPr>
                <w:rFonts w:hint="eastAsia"/>
                <w:b/>
                <w:bCs/>
                <w:lang w:val="en-US" w:eastAsia="zh-CN"/>
              </w:rPr>
              <w:t>风险：</w:t>
            </w:r>
            <w:r>
              <w:rPr>
                <w:rFonts w:hint="eastAsia"/>
                <w:b w:val="0"/>
                <w:bCs w:val="0"/>
                <w:sz w:val="24"/>
                <w:szCs w:val="24"/>
                <w:lang w:eastAsia="zh-CN"/>
              </w:rPr>
              <w:t>严格落实固废分类收集和处置措施，避免危废泄漏造成次生污染风险。</w:t>
            </w:r>
          </w:p>
        </w:tc>
      </w:tr>
      <w:tr>
        <w:tblPrEx>
          <w:tblCellMar>
            <w:top w:w="0" w:type="dxa"/>
            <w:left w:w="0" w:type="dxa"/>
            <w:bottom w:w="0" w:type="dxa"/>
            <w:right w:w="0" w:type="dxa"/>
          </w:tblCellMar>
        </w:tblPrEx>
        <w:trPr>
          <w:trHeight w:val="843" w:hRule="atLeast"/>
          <w:jc w:val="center"/>
        </w:trPr>
        <w:tc>
          <w:tcPr>
            <w:tcW w:w="1405" w:type="dxa"/>
            <w:vMerge w:val="restart"/>
            <w:tcBorders>
              <w:top w:val="single" w:color="000000" w:sz="6" w:space="0"/>
              <w:left w:val="single" w:color="000000" w:sz="6" w:space="0"/>
              <w:bottom w:val="nil"/>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拟采取的防治措施</w:t>
            </w: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废气</w:t>
            </w:r>
          </w:p>
        </w:tc>
        <w:tc>
          <w:tcPr>
            <w:tcW w:w="6857" w:type="dxa"/>
            <w:gridSpan w:val="6"/>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spacing w:line="360" w:lineRule="auto"/>
              <w:jc w:val="left"/>
              <w:textAlignment w:val="auto"/>
              <w:rPr>
                <w:rFonts w:hint="eastAsia"/>
                <w:lang w:val="en-US" w:eastAsia="zh-CN"/>
              </w:rPr>
            </w:pPr>
            <w:r>
              <w:rPr>
                <w:rFonts w:hint="eastAsia"/>
                <w:lang w:val="en-US" w:eastAsia="zh-CN"/>
              </w:rPr>
              <w:t>试制及小试废气：经实验室换气系统排出；</w:t>
            </w:r>
          </w:p>
          <w:p>
            <w:pPr>
              <w:pStyle w:val="2"/>
              <w:ind w:left="0" w:leftChars="0" w:firstLine="0" w:firstLineChars="0"/>
            </w:pPr>
            <w:r>
              <w:rPr>
                <w:rFonts w:hint="eastAsia" w:ascii="Times New Roman" w:hAnsi="Times New Roman"/>
                <w:color w:val="auto"/>
                <w:highlight w:val="none"/>
                <w:lang w:val="en-US" w:eastAsia="zh-CN"/>
              </w:rPr>
              <w:t>食堂油烟：依托现有油烟净化装置净化后高空排放。</w:t>
            </w:r>
          </w:p>
        </w:tc>
      </w:tr>
      <w:tr>
        <w:tblPrEx>
          <w:tblCellMar>
            <w:top w:w="0" w:type="dxa"/>
            <w:left w:w="0" w:type="dxa"/>
            <w:bottom w:w="0" w:type="dxa"/>
            <w:right w:w="0" w:type="dxa"/>
          </w:tblCellMar>
        </w:tblPrEx>
        <w:trPr>
          <w:trHeight w:val="1085" w:hRule="atLeast"/>
          <w:jc w:val="center"/>
        </w:trPr>
        <w:tc>
          <w:tcPr>
            <w:tcW w:w="1405" w:type="dxa"/>
            <w:vMerge w:val="continue"/>
            <w:tcBorders>
              <w:top w:val="nil"/>
              <w:left w:val="single" w:color="000000" w:sz="6" w:space="0"/>
              <w:bottom w:val="nil"/>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废水</w:t>
            </w:r>
          </w:p>
        </w:tc>
        <w:tc>
          <w:tcPr>
            <w:tcW w:w="6857" w:type="dxa"/>
            <w:gridSpan w:val="6"/>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snapToGrid w:val="0"/>
              <w:spacing w:before="120" w:beforeLines="50" w:line="360" w:lineRule="auto"/>
              <w:jc w:val="both"/>
              <w:rPr>
                <w:rFonts w:hint="eastAsia" w:ascii="Times New Roman" w:hAnsi="Times New Roman" w:eastAsia="宋体"/>
                <w:color w:val="auto"/>
                <w:highlight w:val="none"/>
                <w:lang w:eastAsia="zh-CN"/>
              </w:rPr>
            </w:pPr>
            <w:r>
              <w:rPr>
                <w:rFonts w:hint="eastAsia" w:ascii="Times New Roman" w:hAnsi="Times New Roman"/>
                <w:color w:val="auto"/>
                <w:highlight w:val="none"/>
                <w:lang w:eastAsia="zh-CN"/>
              </w:rPr>
              <w:t>生活污水</w:t>
            </w:r>
            <w:r>
              <w:rPr>
                <w:rFonts w:hint="eastAsia" w:ascii="Times New Roman" w:hAnsi="Times New Roman"/>
                <w:color w:val="auto"/>
                <w:highlight w:val="none"/>
              </w:rPr>
              <w:t>经化粪池</w:t>
            </w:r>
            <w:r>
              <w:rPr>
                <w:rFonts w:hint="eastAsia" w:ascii="Times New Roman" w:hAnsi="Times New Roman"/>
                <w:color w:val="auto"/>
                <w:highlight w:val="none"/>
                <w:lang w:val="en-US" w:eastAsia="zh-CN"/>
              </w:rPr>
              <w:t>预处理后满足</w:t>
            </w:r>
            <w:r>
              <w:rPr>
                <w:rFonts w:hint="eastAsia" w:ascii="Times New Roman" w:hAnsi="Times New Roman"/>
                <w:color w:val="auto"/>
                <w:highlight w:val="none"/>
              </w:rPr>
              <w:t>《污水综合排放标准》（</w:t>
            </w:r>
            <w:r>
              <w:rPr>
                <w:rFonts w:ascii="Times New Roman" w:hAnsi="Times New Roman"/>
                <w:color w:val="auto"/>
                <w:highlight w:val="none"/>
              </w:rPr>
              <w:t>GB8978-1996</w:t>
            </w:r>
            <w:r>
              <w:rPr>
                <w:rFonts w:hint="eastAsia" w:ascii="Times New Roman" w:hAnsi="Times New Roman"/>
                <w:color w:val="auto"/>
                <w:highlight w:val="none"/>
              </w:rPr>
              <w:t>）三级标准纳入</w:t>
            </w:r>
            <w:r>
              <w:rPr>
                <w:rFonts w:hint="eastAsia" w:ascii="Times New Roman" w:hAnsi="Times New Roman"/>
                <w:color w:val="auto"/>
                <w:highlight w:val="none"/>
                <w:lang w:val="en-US" w:eastAsia="zh-CN"/>
              </w:rPr>
              <w:t>市政</w:t>
            </w:r>
            <w:r>
              <w:rPr>
                <w:rFonts w:hint="eastAsia" w:ascii="Times New Roman" w:hAnsi="Times New Roman"/>
                <w:color w:val="auto"/>
                <w:highlight w:val="none"/>
              </w:rPr>
              <w:t>污水管网</w:t>
            </w:r>
            <w:r>
              <w:rPr>
                <w:rFonts w:hint="eastAsia" w:ascii="Times New Roman" w:hAnsi="Times New Roman"/>
                <w:color w:val="auto"/>
                <w:highlight w:val="none"/>
                <w:lang w:eastAsia="zh-CN"/>
              </w:rPr>
              <w:t>。</w:t>
            </w:r>
          </w:p>
        </w:tc>
      </w:tr>
      <w:tr>
        <w:tblPrEx>
          <w:tblCellMar>
            <w:top w:w="0" w:type="dxa"/>
            <w:left w:w="0" w:type="dxa"/>
            <w:bottom w:w="0" w:type="dxa"/>
            <w:right w:w="0" w:type="dxa"/>
          </w:tblCellMar>
        </w:tblPrEx>
        <w:trPr>
          <w:trHeight w:val="414" w:hRule="atLeast"/>
          <w:jc w:val="center"/>
        </w:trPr>
        <w:tc>
          <w:tcPr>
            <w:tcW w:w="1405" w:type="dxa"/>
            <w:vMerge w:val="continue"/>
            <w:tcBorders>
              <w:top w:val="nil"/>
              <w:left w:val="single" w:color="000000" w:sz="6" w:space="0"/>
              <w:bottom w:val="nil"/>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固废</w:t>
            </w:r>
          </w:p>
        </w:tc>
        <w:tc>
          <w:tcPr>
            <w:tcW w:w="6857" w:type="dxa"/>
            <w:gridSpan w:val="6"/>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spacing w:before="120" w:beforeLines="50" w:line="360" w:lineRule="auto"/>
              <w:rPr>
                <w:rFonts w:ascii="Times New Roman" w:hAnsi="Times New Roman"/>
                <w:color w:val="auto"/>
                <w:highlight w:val="none"/>
              </w:rPr>
            </w:pPr>
            <w:r>
              <w:rPr>
                <w:rFonts w:hint="eastAsia" w:ascii="Times New Roman" w:hAnsi="Times New Roman"/>
                <w:color w:val="auto"/>
                <w:highlight w:val="none"/>
                <w:lang w:val="en-US" w:eastAsia="zh-CN"/>
              </w:rPr>
              <w:t>危废仓库和一般固废仓库依托厂区现有仓库，一般固废收集后视其性质采取资源化等方式处理，危险废物委托有资质单位处置</w:t>
            </w:r>
            <w:r>
              <w:rPr>
                <w:rFonts w:hint="eastAsia" w:ascii="Times New Roman" w:hAnsi="Times New Roman"/>
                <w:color w:val="auto"/>
                <w:highlight w:val="none"/>
              </w:rPr>
              <w:t>。</w:t>
            </w:r>
          </w:p>
        </w:tc>
      </w:tr>
      <w:tr>
        <w:tblPrEx>
          <w:tblCellMar>
            <w:top w:w="0" w:type="dxa"/>
            <w:left w:w="0" w:type="dxa"/>
            <w:bottom w:w="0" w:type="dxa"/>
            <w:right w:w="0" w:type="dxa"/>
          </w:tblCellMar>
        </w:tblPrEx>
        <w:trPr>
          <w:trHeight w:val="90" w:hRule="atLeast"/>
          <w:jc w:val="center"/>
        </w:trPr>
        <w:tc>
          <w:tcPr>
            <w:tcW w:w="1405" w:type="dxa"/>
            <w:vMerge w:val="continue"/>
            <w:tcBorders>
              <w:top w:val="nil"/>
              <w:left w:val="single" w:color="000000" w:sz="6" w:space="0"/>
              <w:bottom w:val="nil"/>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声</w:t>
            </w:r>
          </w:p>
        </w:tc>
        <w:tc>
          <w:tcPr>
            <w:tcW w:w="6857" w:type="dxa"/>
            <w:gridSpan w:val="6"/>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spacing w:before="120" w:beforeLines="50" w:line="360" w:lineRule="auto"/>
              <w:rPr>
                <w:rFonts w:ascii="Times New Roman" w:hAnsi="Times New Roman"/>
                <w:color w:val="auto"/>
                <w:highlight w:val="none"/>
              </w:rPr>
            </w:pPr>
            <w:r>
              <w:rPr>
                <w:rFonts w:hint="eastAsia" w:ascii="Times New Roman" w:hAnsi="Times New Roman"/>
                <w:color w:val="auto"/>
                <w:highlight w:val="none"/>
                <w:lang w:val="en-US" w:eastAsia="zh-CN"/>
              </w:rPr>
              <w:t>合理布局，将高噪声设备置于车间中心，生产时关闭门窗；选用低噪声设备，并注意维护设备；</w:t>
            </w:r>
            <w:r>
              <w:rPr>
                <w:rFonts w:hint="eastAsia" w:ascii="Times New Roman" w:hAnsi="Times New Roman"/>
                <w:color w:val="auto"/>
                <w:highlight w:val="none"/>
              </w:rPr>
              <w:t>利用厂房的阻隔和距离的衰减降噪。</w:t>
            </w:r>
          </w:p>
        </w:tc>
      </w:tr>
      <w:tr>
        <w:tblPrEx>
          <w:tblCellMar>
            <w:top w:w="0" w:type="dxa"/>
            <w:left w:w="0" w:type="dxa"/>
            <w:bottom w:w="0" w:type="dxa"/>
            <w:right w:w="0" w:type="dxa"/>
          </w:tblCellMar>
        </w:tblPrEx>
        <w:trPr>
          <w:trHeight w:val="508" w:hRule="atLeast"/>
          <w:jc w:val="center"/>
        </w:trPr>
        <w:tc>
          <w:tcPr>
            <w:tcW w:w="1405" w:type="dxa"/>
            <w:vMerge w:val="continue"/>
            <w:tcBorders>
              <w:top w:val="nil"/>
              <w:left w:val="single" w:color="000000" w:sz="6" w:space="0"/>
              <w:bottom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其他</w:t>
            </w:r>
          </w:p>
        </w:tc>
        <w:tc>
          <w:tcPr>
            <w:tcW w:w="6857" w:type="dxa"/>
            <w:gridSpan w:val="6"/>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spacing w:before="120" w:beforeLines="50" w:line="360" w:lineRule="auto"/>
              <w:rPr>
                <w:rFonts w:hint="eastAsia" w:ascii="Times New Roman" w:hAnsi="Times New Roman" w:eastAsia="宋体"/>
                <w:color w:val="auto"/>
                <w:highlight w:val="none"/>
                <w:lang w:eastAsia="zh-CN"/>
              </w:rPr>
            </w:pPr>
            <w:r>
              <w:rPr>
                <w:rFonts w:hint="eastAsia" w:ascii="Times New Roman" w:hAnsi="Times New Roman"/>
                <w:color w:val="auto"/>
                <w:highlight w:val="none"/>
                <w:lang w:eastAsia="zh-CN"/>
              </w:rPr>
              <w:t>严格落实固废分类收集和处置措施，避免危废泄漏造成次生污染风险。</w:t>
            </w:r>
          </w:p>
        </w:tc>
      </w:tr>
      <w:tr>
        <w:tblPrEx>
          <w:tblCellMar>
            <w:top w:w="0" w:type="dxa"/>
            <w:left w:w="0" w:type="dxa"/>
            <w:bottom w:w="0" w:type="dxa"/>
            <w:right w:w="0" w:type="dxa"/>
          </w:tblCellMar>
        </w:tblPrEx>
        <w:trPr>
          <w:trHeight w:val="381" w:hRule="atLeast"/>
          <w:jc w:val="center"/>
        </w:trPr>
        <w:tc>
          <w:tcPr>
            <w:tcW w:w="1405" w:type="dxa"/>
            <w:vMerge w:val="restart"/>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预期治理效果</w:t>
            </w: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废气</w:t>
            </w:r>
          </w:p>
        </w:tc>
        <w:tc>
          <w:tcPr>
            <w:tcW w:w="6857" w:type="dxa"/>
            <w:gridSpan w:val="6"/>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spacing w:line="360" w:lineRule="auto"/>
              <w:ind w:firstLine="0" w:firstLineChars="0"/>
              <w:jc w:val="both"/>
              <w:textAlignment w:val="auto"/>
              <w:rPr>
                <w:rFonts w:hint="eastAsia"/>
                <w:lang w:eastAsia="zh-CN"/>
              </w:rPr>
            </w:pPr>
            <w:r>
              <w:rPr>
                <w:rFonts w:hint="eastAsia"/>
                <w:lang w:val="en-US" w:eastAsia="zh-CN"/>
              </w:rPr>
              <w:t>研发过程产生的有机废气排放参照</w:t>
            </w:r>
            <w:r>
              <w:rPr>
                <w:rFonts w:hint="eastAsia"/>
              </w:rPr>
              <w:t>《大气污染物综合排放标准》</w:t>
            </w:r>
            <w:r>
              <w:rPr>
                <w:rFonts w:hint="eastAsia"/>
                <w:lang w:eastAsia="zh-CN"/>
              </w:rPr>
              <w:t>（</w:t>
            </w:r>
            <w:r>
              <w:t>GB16297-1996</w:t>
            </w:r>
            <w:r>
              <w:rPr>
                <w:rFonts w:hint="eastAsia"/>
                <w:lang w:eastAsia="zh-CN"/>
              </w:rPr>
              <w:t>）非甲烷总烃的</w:t>
            </w:r>
            <w:r>
              <w:rPr>
                <w:rFonts w:hint="default"/>
              </w:rPr>
              <w:t>“新污染物排放限值二级</w:t>
            </w:r>
            <w:r>
              <w:rPr>
                <w:rFonts w:hint="eastAsia"/>
                <w:lang w:val="en-US" w:eastAsia="zh-CN"/>
              </w:rPr>
              <w:t>标准</w:t>
            </w:r>
            <w:r>
              <w:rPr>
                <w:rFonts w:hint="default"/>
              </w:rPr>
              <w:t>”</w:t>
            </w:r>
            <w:r>
              <w:rPr>
                <w:rFonts w:hint="eastAsia"/>
                <w:lang w:eastAsia="zh-CN"/>
              </w:rPr>
              <w:t>。厂界内</w:t>
            </w:r>
            <w:r>
              <w:t>无组织</w:t>
            </w:r>
            <w:r>
              <w:rPr>
                <w:rFonts w:hint="eastAsia"/>
                <w:lang w:val="en-US" w:eastAsia="zh-CN"/>
              </w:rPr>
              <w:t>排放限值以及控制要求满足</w:t>
            </w:r>
            <w:r>
              <w:t>《挥发性有机物无组织排放控制标准》（GB 37822-2019）</w:t>
            </w:r>
            <w:r>
              <w:rPr>
                <w:rFonts w:hint="eastAsia"/>
                <w:lang w:eastAsia="zh-CN"/>
              </w:rPr>
              <w:t>。</w:t>
            </w:r>
          </w:p>
          <w:p>
            <w:pPr>
              <w:pStyle w:val="2"/>
              <w:keepNext w:val="0"/>
              <w:keepLines w:val="0"/>
              <w:pageBreakBefore w:val="0"/>
              <w:widowControl w:val="0"/>
              <w:kinsoku/>
              <w:wordWrap/>
              <w:overflowPunct/>
              <w:topLinePunct w:val="0"/>
              <w:bidi w:val="0"/>
              <w:snapToGrid/>
              <w:spacing w:line="360" w:lineRule="auto"/>
              <w:ind w:firstLine="0" w:firstLineChars="0"/>
              <w:textAlignment w:val="auto"/>
              <w:rPr>
                <w:rFonts w:hint="eastAsia" w:eastAsia="宋体"/>
                <w:lang w:eastAsia="zh-CN"/>
              </w:rPr>
            </w:pPr>
            <w:r>
              <w:rPr>
                <w:rFonts w:hint="eastAsia"/>
                <w:color w:val="auto"/>
                <w:sz w:val="24"/>
                <w:lang w:eastAsia="zh-CN"/>
              </w:rPr>
              <w:t>食堂</w:t>
            </w:r>
            <w:r>
              <w:rPr>
                <w:rFonts w:hint="eastAsia"/>
                <w:color w:val="auto"/>
                <w:sz w:val="24"/>
              </w:rPr>
              <w:t>油烟排放执行《饮食业油烟排放标准（试行）》（GB18483-2001）中的</w:t>
            </w:r>
            <w:r>
              <w:rPr>
                <w:rFonts w:hint="eastAsia"/>
                <w:color w:val="auto"/>
                <w:sz w:val="24"/>
                <w:lang w:eastAsia="zh-CN"/>
              </w:rPr>
              <w:t>相应</w:t>
            </w:r>
            <w:r>
              <w:rPr>
                <w:rFonts w:hint="eastAsia"/>
                <w:color w:val="auto"/>
                <w:sz w:val="24"/>
              </w:rPr>
              <w:t>标准</w:t>
            </w:r>
            <w:r>
              <w:rPr>
                <w:rFonts w:hint="eastAsia"/>
                <w:color w:val="auto"/>
                <w:sz w:val="24"/>
                <w:lang w:eastAsia="zh-CN"/>
              </w:rPr>
              <w:t>。</w:t>
            </w:r>
          </w:p>
        </w:tc>
      </w:tr>
      <w:tr>
        <w:tblPrEx>
          <w:tblCellMar>
            <w:top w:w="0" w:type="dxa"/>
            <w:left w:w="0" w:type="dxa"/>
            <w:bottom w:w="0" w:type="dxa"/>
            <w:right w:w="0" w:type="dxa"/>
          </w:tblCellMar>
        </w:tblPrEx>
        <w:trPr>
          <w:trHeight w:val="980" w:hRule="atLeast"/>
          <w:jc w:val="center"/>
        </w:trPr>
        <w:tc>
          <w:tcPr>
            <w:tcW w:w="1405" w:type="dxa"/>
            <w:vMerge w:val="continue"/>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废水</w:t>
            </w:r>
          </w:p>
        </w:tc>
        <w:tc>
          <w:tcPr>
            <w:tcW w:w="6857" w:type="dxa"/>
            <w:gridSpan w:val="6"/>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spacing w:before="120" w:beforeLines="50" w:line="360" w:lineRule="auto"/>
              <w:ind w:firstLine="0" w:firstLineChars="0"/>
              <w:jc w:val="both"/>
              <w:textAlignment w:val="auto"/>
              <w:rPr>
                <w:rFonts w:ascii="Times New Roman" w:hAnsi="Times New Roman"/>
                <w:color w:val="auto"/>
                <w:highlight w:val="none"/>
              </w:rPr>
            </w:pPr>
            <w:r>
              <w:rPr>
                <w:rFonts w:hint="eastAsia" w:ascii="Times New Roman" w:hAnsi="Times New Roman"/>
                <w:color w:val="auto"/>
                <w:highlight w:val="none"/>
                <w:lang w:val="en-US" w:eastAsia="zh-CN"/>
              </w:rPr>
              <w:t>生活污水收集后经化粪池预处理满足</w:t>
            </w:r>
            <w:r>
              <w:rPr>
                <w:rFonts w:hint="eastAsia" w:ascii="Times New Roman" w:hAnsi="Times New Roman"/>
                <w:color w:val="auto"/>
                <w:highlight w:val="none"/>
              </w:rPr>
              <w:t>《污水综合排放标准》（</w:t>
            </w:r>
            <w:r>
              <w:rPr>
                <w:rFonts w:ascii="Times New Roman" w:hAnsi="Times New Roman"/>
                <w:color w:val="auto"/>
                <w:highlight w:val="none"/>
              </w:rPr>
              <w:t>GB8978-1996</w:t>
            </w:r>
            <w:r>
              <w:rPr>
                <w:rFonts w:hint="eastAsia" w:ascii="Times New Roman" w:hAnsi="Times New Roman"/>
                <w:color w:val="auto"/>
                <w:highlight w:val="none"/>
              </w:rPr>
              <w:t>）三级标准</w:t>
            </w:r>
            <w:r>
              <w:rPr>
                <w:rFonts w:hint="eastAsia" w:ascii="Times New Roman" w:hAnsi="Times New Roman"/>
                <w:color w:val="auto"/>
                <w:highlight w:val="none"/>
                <w:lang w:val="en-US" w:eastAsia="zh-CN"/>
              </w:rPr>
              <w:t>后一同</w:t>
            </w:r>
            <w:r>
              <w:rPr>
                <w:rFonts w:hint="eastAsia" w:ascii="Times New Roman" w:hAnsi="Times New Roman"/>
                <w:color w:val="auto"/>
                <w:highlight w:val="none"/>
              </w:rPr>
              <w:t>纳入</w:t>
            </w:r>
            <w:r>
              <w:rPr>
                <w:rFonts w:hint="eastAsia" w:ascii="Times New Roman" w:hAnsi="Times New Roman"/>
                <w:color w:val="auto"/>
                <w:highlight w:val="none"/>
                <w:lang w:val="en-US" w:eastAsia="zh-CN"/>
              </w:rPr>
              <w:t>市政</w:t>
            </w:r>
            <w:r>
              <w:rPr>
                <w:rFonts w:hint="eastAsia" w:ascii="Times New Roman" w:hAnsi="Times New Roman"/>
                <w:color w:val="auto"/>
                <w:highlight w:val="none"/>
              </w:rPr>
              <w:t>污水管网，最终经</w:t>
            </w:r>
            <w:r>
              <w:rPr>
                <w:rFonts w:hint="eastAsia" w:ascii="Times New Roman" w:hAnsi="Times New Roman"/>
                <w:color w:val="auto"/>
                <w:highlight w:val="none"/>
                <w:lang w:eastAsia="zh-CN"/>
              </w:rPr>
              <w:t>丁桥污水处理厂</w:t>
            </w:r>
            <w:r>
              <w:rPr>
                <w:rFonts w:hint="eastAsia" w:ascii="Times New Roman" w:hAnsi="Times New Roman"/>
                <w:color w:val="auto"/>
                <w:highlight w:val="none"/>
              </w:rPr>
              <w:t>处理达到《城镇污水处理厂污染物排放标准》（</w:t>
            </w:r>
            <w:r>
              <w:rPr>
                <w:rFonts w:ascii="Times New Roman" w:hAnsi="Times New Roman"/>
                <w:color w:val="auto"/>
                <w:highlight w:val="none"/>
              </w:rPr>
              <w:t>GB18918-2002</w:t>
            </w:r>
            <w:r>
              <w:rPr>
                <w:rFonts w:hint="eastAsia" w:ascii="Times New Roman" w:hAnsi="Times New Roman"/>
                <w:color w:val="auto"/>
                <w:highlight w:val="none"/>
              </w:rPr>
              <w:t>）一级</w:t>
            </w:r>
            <w:r>
              <w:rPr>
                <w:rFonts w:ascii="Times New Roman" w:hAnsi="Times New Roman"/>
                <w:color w:val="auto"/>
                <w:highlight w:val="none"/>
              </w:rPr>
              <w:t>A</w:t>
            </w:r>
            <w:r>
              <w:rPr>
                <w:rFonts w:hint="eastAsia" w:ascii="Times New Roman" w:hAnsi="Times New Roman"/>
                <w:color w:val="auto"/>
                <w:highlight w:val="none"/>
              </w:rPr>
              <w:t>标准后排放。</w:t>
            </w:r>
          </w:p>
        </w:tc>
      </w:tr>
      <w:tr>
        <w:tblPrEx>
          <w:tblCellMar>
            <w:top w:w="0" w:type="dxa"/>
            <w:left w:w="0" w:type="dxa"/>
            <w:bottom w:w="0" w:type="dxa"/>
            <w:right w:w="0" w:type="dxa"/>
          </w:tblCellMar>
        </w:tblPrEx>
        <w:trPr>
          <w:trHeight w:val="90" w:hRule="atLeast"/>
          <w:jc w:val="center"/>
        </w:trPr>
        <w:tc>
          <w:tcPr>
            <w:tcW w:w="1405" w:type="dxa"/>
            <w:vMerge w:val="continue"/>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固废</w:t>
            </w:r>
          </w:p>
        </w:tc>
        <w:tc>
          <w:tcPr>
            <w:tcW w:w="6857" w:type="dxa"/>
            <w:gridSpan w:val="6"/>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spacing w:line="360" w:lineRule="auto"/>
              <w:ind w:firstLine="0" w:firstLineChars="0"/>
              <w:textAlignment w:val="auto"/>
              <w:rPr>
                <w:rFonts w:ascii="Times New Roman" w:hAnsi="Times New Roman"/>
                <w:color w:val="auto"/>
                <w:highlight w:val="none"/>
              </w:rPr>
            </w:pPr>
            <w:r>
              <w:rPr>
                <w:rFonts w:hint="eastAsia" w:ascii="Times New Roman" w:hAnsi="Times New Roman"/>
                <w:color w:val="auto"/>
                <w:highlight w:val="none"/>
              </w:rPr>
              <w:t>各类固废均得到合理处置，不会产生二次污染。</w:t>
            </w:r>
          </w:p>
        </w:tc>
      </w:tr>
      <w:tr>
        <w:tblPrEx>
          <w:tblCellMar>
            <w:top w:w="0" w:type="dxa"/>
            <w:left w:w="0" w:type="dxa"/>
            <w:bottom w:w="0" w:type="dxa"/>
            <w:right w:w="0" w:type="dxa"/>
          </w:tblCellMar>
        </w:tblPrEx>
        <w:trPr>
          <w:trHeight w:val="90" w:hRule="atLeast"/>
          <w:jc w:val="center"/>
        </w:trPr>
        <w:tc>
          <w:tcPr>
            <w:tcW w:w="1405" w:type="dxa"/>
            <w:vMerge w:val="continue"/>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声</w:t>
            </w:r>
          </w:p>
        </w:tc>
        <w:tc>
          <w:tcPr>
            <w:tcW w:w="6857" w:type="dxa"/>
            <w:gridSpan w:val="6"/>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spacing w:before="120" w:beforeLines="50" w:line="360" w:lineRule="auto"/>
              <w:ind w:firstLine="0" w:firstLineChars="0"/>
              <w:textAlignment w:val="auto"/>
              <w:rPr>
                <w:rFonts w:ascii="Times New Roman" w:hAnsi="Times New Roman"/>
                <w:color w:val="auto"/>
                <w:highlight w:val="none"/>
              </w:rPr>
            </w:pPr>
            <w:r>
              <w:rPr>
                <w:rFonts w:hint="eastAsia" w:ascii="Times New Roman" w:hAnsi="Times New Roman"/>
                <w:color w:val="auto"/>
                <w:highlight w:val="none"/>
              </w:rPr>
              <w:t>厂界噪声达《工业企业厂界环境噪声排放标准》（</w:t>
            </w:r>
            <w:r>
              <w:rPr>
                <w:rFonts w:ascii="Times New Roman" w:hAnsi="Times New Roman"/>
                <w:color w:val="auto"/>
                <w:highlight w:val="none"/>
              </w:rPr>
              <w:t>GB12348-2008</w:t>
            </w:r>
            <w:r>
              <w:rPr>
                <w:rFonts w:hint="eastAsia" w:ascii="Times New Roman" w:hAnsi="Times New Roman"/>
                <w:color w:val="auto"/>
                <w:highlight w:val="none"/>
              </w:rPr>
              <w:t>）中的</w:t>
            </w:r>
            <w:r>
              <w:rPr>
                <w:rFonts w:ascii="Times New Roman" w:hAnsi="Times New Roman"/>
                <w:color w:val="auto"/>
                <w:highlight w:val="none"/>
              </w:rPr>
              <w:t>3</w:t>
            </w:r>
            <w:r>
              <w:rPr>
                <w:rFonts w:hint="eastAsia" w:ascii="Times New Roman" w:hAnsi="Times New Roman"/>
                <w:color w:val="auto"/>
                <w:highlight w:val="none"/>
              </w:rPr>
              <w:t>类标准。</w:t>
            </w:r>
          </w:p>
        </w:tc>
      </w:tr>
      <w:tr>
        <w:tblPrEx>
          <w:tblCellMar>
            <w:top w:w="0" w:type="dxa"/>
            <w:left w:w="0" w:type="dxa"/>
            <w:bottom w:w="0" w:type="dxa"/>
            <w:right w:w="0" w:type="dxa"/>
          </w:tblCellMar>
        </w:tblPrEx>
        <w:trPr>
          <w:trHeight w:val="90" w:hRule="atLeast"/>
          <w:jc w:val="center"/>
        </w:trPr>
        <w:tc>
          <w:tcPr>
            <w:tcW w:w="1405" w:type="dxa"/>
            <w:vMerge w:val="continue"/>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Times New Roman" w:hAnsi="Times New Roman"/>
                <w:b/>
                <w:color w:val="auto"/>
                <w:highlight w:val="none"/>
              </w:rPr>
              <w:t>其他</w:t>
            </w:r>
          </w:p>
        </w:tc>
        <w:tc>
          <w:tcPr>
            <w:tcW w:w="6857" w:type="dxa"/>
            <w:gridSpan w:val="6"/>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spacing w:before="120" w:beforeLines="50" w:line="360" w:lineRule="auto"/>
              <w:rPr>
                <w:rFonts w:hint="eastAsia" w:ascii="Times New Roman" w:hAnsi="Times New Roman" w:eastAsia="宋体"/>
                <w:color w:val="auto"/>
                <w:highlight w:val="none"/>
                <w:lang w:eastAsia="zh-CN"/>
              </w:rPr>
            </w:pPr>
            <w:r>
              <w:rPr>
                <w:rFonts w:hint="eastAsia" w:ascii="Times New Roman" w:hAnsi="Times New Roman"/>
                <w:color w:val="auto"/>
                <w:highlight w:val="none"/>
              </w:rPr>
              <w:t>无</w:t>
            </w:r>
            <w:r>
              <w:rPr>
                <w:rFonts w:hint="eastAsia" w:ascii="Times New Roman" w:hAnsi="Times New Roman"/>
                <w:color w:val="auto"/>
                <w:highlight w:val="none"/>
                <w:lang w:eastAsia="zh-CN"/>
              </w:rPr>
              <w:t>。</w:t>
            </w:r>
          </w:p>
        </w:tc>
      </w:tr>
      <w:tr>
        <w:tblPrEx>
          <w:tblCellMar>
            <w:top w:w="0" w:type="dxa"/>
            <w:left w:w="0" w:type="dxa"/>
            <w:bottom w:w="0" w:type="dxa"/>
            <w:right w:w="0" w:type="dxa"/>
          </w:tblCellMar>
        </w:tblPrEx>
        <w:trPr>
          <w:trHeight w:val="760" w:hRule="atLeast"/>
          <w:jc w:val="center"/>
        </w:trPr>
        <w:tc>
          <w:tcPr>
            <w:tcW w:w="1405" w:type="dxa"/>
            <w:vMerge w:val="restart"/>
            <w:tcBorders>
              <w:top w:val="single" w:color="000000" w:sz="6" w:space="0"/>
              <w:left w:val="single" w:color="000000" w:sz="6" w:space="0"/>
              <w:right w:val="single" w:color="000000" w:sz="6" w:space="0"/>
            </w:tcBorders>
            <w:shd w:val="clear" w:color="auto" w:fill="FFFFFF"/>
            <w:vAlign w:val="center"/>
          </w:tcPr>
          <w:p>
            <w:pPr>
              <w:shd w:val="clear"/>
              <w:jc w:val="center"/>
              <w:rPr>
                <w:rFonts w:ascii="Times New Roman" w:hAnsi="Times New Roman"/>
                <w:color w:val="auto"/>
                <w:highlight w:val="none"/>
              </w:rPr>
            </w:pPr>
            <w:r>
              <w:rPr>
                <w:rFonts w:hint="eastAsia" w:ascii="宋体" w:hAnsi="宋体"/>
                <w:b/>
                <w:color w:val="auto"/>
                <w:sz w:val="24"/>
                <w:highlight w:val="none"/>
                <w:lang w:eastAsia="zh-CN"/>
              </w:rPr>
              <w:t>污染物排放量</w:t>
            </w: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eastAsia" w:ascii="宋体" w:hAnsi="宋体" w:eastAsia="宋体" w:cs="Times New Roman"/>
                <w:color w:val="auto"/>
                <w:sz w:val="24"/>
                <w:szCs w:val="24"/>
                <w:highlight w:val="none"/>
                <w:lang w:val="en-US" w:eastAsia="zh-CN" w:bidi="ar-SA"/>
              </w:rPr>
            </w:pPr>
            <w:r>
              <w:rPr>
                <w:rFonts w:hint="eastAsia" w:ascii="宋体" w:hAnsi="宋体"/>
                <w:color w:val="auto"/>
                <w:sz w:val="24"/>
                <w:szCs w:val="24"/>
                <w:highlight w:val="none"/>
                <w:lang w:eastAsia="zh-CN"/>
              </w:rPr>
              <w:t>污染物名称</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0" w:rightChars="0"/>
              <w:jc w:val="center"/>
              <w:textAlignment w:val="auto"/>
              <w:rPr>
                <w:rFonts w:hint="default" w:ascii="宋体" w:hAnsi="宋体" w:eastAsia="宋体" w:cs="Times New Roman"/>
                <w:color w:val="auto"/>
                <w:sz w:val="24"/>
                <w:szCs w:val="24"/>
                <w:highlight w:val="none"/>
                <w:lang w:val="en-US" w:eastAsia="zh-CN" w:bidi="ar-SA"/>
              </w:rPr>
            </w:pPr>
            <w:r>
              <w:rPr>
                <w:rFonts w:hint="eastAsia" w:ascii="宋体" w:hAnsi="宋体"/>
                <w:color w:val="auto"/>
                <w:sz w:val="24"/>
                <w:szCs w:val="24"/>
                <w:highlight w:val="none"/>
                <w:lang w:eastAsia="zh-CN"/>
              </w:rPr>
              <w:t>原有项目实际排放量</w:t>
            </w:r>
            <w:r>
              <w:rPr>
                <w:rFonts w:hint="default" w:ascii="Times New Roman" w:hAnsi="Times New Roman" w:cs="Times New Roman"/>
                <w:color w:val="auto"/>
                <w:sz w:val="24"/>
                <w:szCs w:val="24"/>
                <w:highlight w:val="none"/>
                <w:lang w:val="en-US" w:eastAsia="zh-CN"/>
              </w:rPr>
              <w:t>t/a</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0" w:rightChars="0"/>
              <w:jc w:val="center"/>
              <w:textAlignment w:val="auto"/>
              <w:rPr>
                <w:rFonts w:hint="eastAsia" w:ascii="宋体" w:hAnsi="宋体" w:eastAsia="宋体" w:cs="Times New Roman"/>
                <w:color w:val="auto"/>
                <w:sz w:val="24"/>
                <w:szCs w:val="24"/>
                <w:highlight w:val="none"/>
                <w:lang w:val="en-US" w:eastAsia="zh-CN" w:bidi="ar-SA"/>
              </w:rPr>
            </w:pPr>
            <w:r>
              <w:rPr>
                <w:rFonts w:hint="eastAsia" w:ascii="宋体" w:hAnsi="宋体"/>
                <w:color w:val="auto"/>
                <w:sz w:val="24"/>
                <w:szCs w:val="24"/>
                <w:highlight w:val="none"/>
                <w:lang w:eastAsia="zh-CN"/>
              </w:rPr>
              <w:t>原有项目许可排放量</w:t>
            </w:r>
            <w:r>
              <w:rPr>
                <w:rFonts w:hint="default" w:ascii="Times New Roman" w:hAnsi="Times New Roman" w:cs="Times New Roman"/>
                <w:color w:val="auto"/>
                <w:sz w:val="24"/>
                <w:szCs w:val="24"/>
                <w:highlight w:val="none"/>
                <w:lang w:val="en-US" w:eastAsia="zh-CN"/>
              </w:rPr>
              <w:t>t/a</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0" w:rightChars="0"/>
              <w:jc w:val="center"/>
              <w:textAlignment w:val="auto"/>
              <w:rPr>
                <w:rFonts w:hint="eastAsia" w:ascii="宋体" w:hAnsi="宋体" w:eastAsia="宋体" w:cs="Times New Roman"/>
                <w:color w:val="auto"/>
                <w:sz w:val="24"/>
                <w:szCs w:val="24"/>
                <w:highlight w:val="none"/>
                <w:lang w:val="en-US" w:eastAsia="zh-CN" w:bidi="ar-SA"/>
              </w:rPr>
            </w:pPr>
            <w:r>
              <w:rPr>
                <w:rFonts w:hint="eastAsia" w:ascii="宋体" w:hAnsi="宋体"/>
                <w:color w:val="auto"/>
                <w:sz w:val="24"/>
                <w:szCs w:val="24"/>
                <w:highlight w:val="none"/>
                <w:lang w:eastAsia="zh-CN"/>
              </w:rPr>
              <w:t>本项目新增排放量</w:t>
            </w:r>
            <w:r>
              <w:rPr>
                <w:rFonts w:hint="default" w:ascii="Times New Roman" w:hAnsi="Times New Roman" w:cs="Times New Roman"/>
                <w:color w:val="auto"/>
                <w:sz w:val="24"/>
                <w:szCs w:val="24"/>
                <w:highlight w:val="none"/>
                <w:lang w:val="en-US" w:eastAsia="zh-CN"/>
              </w:rPr>
              <w:t>t/a</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0" w:rightChars="0"/>
              <w:jc w:val="center"/>
              <w:textAlignment w:val="auto"/>
              <w:rPr>
                <w:rFonts w:hint="eastAsia" w:ascii="宋体" w:hAnsi="宋体" w:eastAsia="宋体" w:cs="Times New Roman"/>
                <w:color w:val="auto"/>
                <w:sz w:val="24"/>
                <w:szCs w:val="24"/>
                <w:highlight w:val="none"/>
                <w:lang w:val="en-US" w:eastAsia="zh-CN" w:bidi="ar-SA"/>
              </w:rPr>
            </w:pPr>
            <w:r>
              <w:rPr>
                <w:rFonts w:hint="eastAsia" w:ascii="宋体" w:hAnsi="宋体"/>
                <w:color w:val="auto"/>
                <w:sz w:val="24"/>
                <w:szCs w:val="24"/>
                <w:highlight w:val="none"/>
                <w:lang w:eastAsia="zh-CN"/>
              </w:rPr>
              <w:t>“以新带老”削减量</w:t>
            </w:r>
            <w:r>
              <w:rPr>
                <w:rFonts w:hint="default" w:ascii="Times New Roman" w:hAnsi="Times New Roman" w:cs="Times New Roman"/>
                <w:color w:val="auto"/>
                <w:sz w:val="24"/>
                <w:szCs w:val="24"/>
                <w:highlight w:val="none"/>
                <w:lang w:val="en-US" w:eastAsia="zh-CN"/>
              </w:rPr>
              <w:t>t/a</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0" w:rightChars="0"/>
              <w:jc w:val="center"/>
              <w:textAlignment w:val="auto"/>
              <w:rPr>
                <w:rFonts w:hint="eastAsia" w:ascii="宋体" w:hAnsi="宋体" w:eastAsia="宋体" w:cs="Times New Roman"/>
                <w:color w:val="auto"/>
                <w:sz w:val="24"/>
                <w:szCs w:val="24"/>
                <w:highlight w:val="none"/>
                <w:lang w:val="en-US" w:eastAsia="zh-CN" w:bidi="ar-SA"/>
              </w:rPr>
            </w:pPr>
            <w:r>
              <w:rPr>
                <w:rFonts w:hint="eastAsia" w:ascii="宋体" w:hAnsi="宋体"/>
                <w:color w:val="auto"/>
                <w:sz w:val="24"/>
                <w:szCs w:val="24"/>
                <w:highlight w:val="none"/>
                <w:lang w:eastAsia="zh-CN"/>
              </w:rPr>
              <w:t>调剂量</w:t>
            </w:r>
            <w:r>
              <w:rPr>
                <w:rFonts w:hint="default" w:ascii="Times New Roman" w:hAnsi="Times New Roman" w:cs="Times New Roman"/>
                <w:color w:val="auto"/>
                <w:sz w:val="24"/>
                <w:szCs w:val="24"/>
                <w:highlight w:val="none"/>
                <w:lang w:val="en-US" w:eastAsia="zh-CN"/>
              </w:rPr>
              <w:t>t/a</w:t>
            </w:r>
          </w:p>
        </w:tc>
        <w:tc>
          <w:tcPr>
            <w:tcW w:w="114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0" w:rightChars="0"/>
              <w:jc w:val="center"/>
              <w:textAlignment w:val="auto"/>
              <w:rPr>
                <w:rFonts w:hint="eastAsia" w:ascii="宋体" w:hAnsi="宋体" w:eastAsia="宋体" w:cs="Times New Roman"/>
                <w:color w:val="auto"/>
                <w:sz w:val="24"/>
                <w:szCs w:val="24"/>
                <w:highlight w:val="none"/>
                <w:lang w:val="en-US" w:eastAsia="zh-CN" w:bidi="ar-SA"/>
              </w:rPr>
            </w:pPr>
            <w:r>
              <w:rPr>
                <w:rFonts w:hint="eastAsia" w:ascii="宋体" w:hAnsi="宋体"/>
                <w:color w:val="auto"/>
                <w:sz w:val="24"/>
                <w:szCs w:val="24"/>
                <w:highlight w:val="none"/>
                <w:lang w:eastAsia="zh-CN"/>
              </w:rPr>
              <w:t>核定排放总量指标</w:t>
            </w:r>
            <w:r>
              <w:rPr>
                <w:rFonts w:hint="default" w:ascii="Times New Roman" w:hAnsi="Times New Roman" w:cs="Times New Roman"/>
                <w:color w:val="auto"/>
                <w:sz w:val="24"/>
                <w:szCs w:val="24"/>
                <w:highlight w:val="none"/>
                <w:lang w:val="en-US" w:eastAsia="zh-CN"/>
              </w:rPr>
              <w:t>t/a</w:t>
            </w:r>
          </w:p>
        </w:tc>
      </w:tr>
      <w:tr>
        <w:tblPrEx>
          <w:tblCellMar>
            <w:top w:w="0" w:type="dxa"/>
            <w:left w:w="0" w:type="dxa"/>
            <w:bottom w:w="0" w:type="dxa"/>
            <w:right w:w="0" w:type="dxa"/>
          </w:tblCellMar>
        </w:tblPrEx>
        <w:trPr>
          <w:trHeight w:val="90" w:hRule="atLeast"/>
          <w:jc w:val="center"/>
        </w:trPr>
        <w:tc>
          <w:tcPr>
            <w:tcW w:w="1405" w:type="dxa"/>
            <w:vMerge w:val="continue"/>
            <w:tcBorders>
              <w:left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eastAsia" w:ascii="宋体" w:hAnsi="宋体" w:eastAsia="宋体" w:cs="Times New Roman"/>
                <w:b/>
                <w:color w:val="auto"/>
                <w:sz w:val="24"/>
                <w:szCs w:val="24"/>
                <w:highlight w:val="none"/>
                <w:lang w:val="en-US" w:eastAsia="zh-CN" w:bidi="ar-SA"/>
              </w:rPr>
            </w:pPr>
            <w:r>
              <w:rPr>
                <w:rFonts w:hint="default" w:ascii="Times New Roman" w:hAnsi="Times New Roman"/>
                <w:color w:val="auto"/>
                <w:sz w:val="24"/>
                <w:highlight w:val="none"/>
              </w:rPr>
              <w:t>COD</w:t>
            </w:r>
            <w:r>
              <w:rPr>
                <w:rFonts w:hint="eastAsia" w:ascii="Times New Roman" w:hAnsi="Times New Roman"/>
                <w:color w:val="auto"/>
                <w:sz w:val="24"/>
                <w:highlight w:val="none"/>
                <w:vertAlign w:val="subscript"/>
                <w:lang w:val="en-US" w:eastAsia="zh-CN"/>
              </w:rPr>
              <w:t>C</w:t>
            </w:r>
            <w:r>
              <w:rPr>
                <w:rFonts w:hint="default" w:ascii="Times New Roman" w:hAnsi="Times New Roman"/>
                <w:color w:val="auto"/>
                <w:sz w:val="24"/>
                <w:highlight w:val="none"/>
                <w:vertAlign w:val="subscript"/>
              </w:rPr>
              <w:t>r</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000000"/>
                <w:sz w:val="24"/>
                <w:szCs w:val="21"/>
                <w:lang w:val="en-US" w:eastAsia="zh-CN" w:bidi="ar-SA"/>
              </w:rPr>
            </w:pPr>
            <w:r>
              <w:rPr>
                <w:rFonts w:hint="default" w:ascii="Times New Roman" w:hAnsi="Times New Roman" w:cs="Times New Roman"/>
                <w:b w:val="0"/>
                <w:bCs/>
                <w:szCs w:val="21"/>
                <w:lang w:val="en-US" w:eastAsia="zh-CN"/>
              </w:rPr>
              <w:t>3.104</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3.164</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0.013</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120" w:rightChars="5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w:t>
            </w:r>
          </w:p>
        </w:tc>
        <w:tc>
          <w:tcPr>
            <w:tcW w:w="1147"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3.177</w:t>
            </w:r>
          </w:p>
        </w:tc>
      </w:tr>
      <w:tr>
        <w:tblPrEx>
          <w:tblCellMar>
            <w:top w:w="0" w:type="dxa"/>
            <w:left w:w="0" w:type="dxa"/>
            <w:bottom w:w="0" w:type="dxa"/>
            <w:right w:w="0" w:type="dxa"/>
          </w:tblCellMar>
        </w:tblPrEx>
        <w:trPr>
          <w:trHeight w:val="90" w:hRule="atLeast"/>
          <w:jc w:val="center"/>
        </w:trPr>
        <w:tc>
          <w:tcPr>
            <w:tcW w:w="1405" w:type="dxa"/>
            <w:vMerge w:val="continue"/>
            <w:tcBorders>
              <w:left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eastAsia" w:ascii="宋体" w:hAnsi="宋体" w:eastAsia="宋体" w:cs="Times New Roman"/>
                <w:b/>
                <w:color w:val="auto"/>
                <w:sz w:val="24"/>
                <w:szCs w:val="24"/>
                <w:highlight w:val="none"/>
                <w:lang w:val="en-US" w:eastAsia="zh-CN" w:bidi="ar-SA"/>
              </w:rPr>
            </w:pPr>
            <w:r>
              <w:rPr>
                <w:rFonts w:hint="default" w:ascii="Times New Roman" w:hAnsi="Times New Roman"/>
                <w:color w:val="auto"/>
                <w:sz w:val="24"/>
                <w:highlight w:val="none"/>
              </w:rPr>
              <w:t>NH</w:t>
            </w:r>
            <w:r>
              <w:rPr>
                <w:rFonts w:hint="default" w:ascii="Times New Roman" w:hAnsi="Times New Roman"/>
                <w:color w:val="auto"/>
                <w:sz w:val="24"/>
                <w:highlight w:val="none"/>
                <w:vertAlign w:val="subscript"/>
              </w:rPr>
              <w:t>3</w:t>
            </w:r>
            <w:r>
              <w:rPr>
                <w:rFonts w:hint="default" w:ascii="Times New Roman" w:hAnsi="Times New Roman"/>
                <w:color w:val="auto"/>
                <w:sz w:val="24"/>
                <w:highlight w:val="none"/>
              </w:rPr>
              <w:t>-N</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000000"/>
                <w:sz w:val="24"/>
                <w:szCs w:val="21"/>
                <w:lang w:val="en-US" w:eastAsia="zh-CN" w:bidi="ar-SA"/>
              </w:rPr>
            </w:pPr>
            <w:r>
              <w:rPr>
                <w:rFonts w:hint="default" w:ascii="Times New Roman" w:hAnsi="Times New Roman" w:cs="Times New Roman"/>
                <w:b w:val="0"/>
                <w:bCs/>
                <w:szCs w:val="21"/>
              </w:rPr>
              <w:t>0.</w:t>
            </w:r>
            <w:r>
              <w:rPr>
                <w:rFonts w:hint="default" w:ascii="Times New Roman" w:hAnsi="Times New Roman" w:cs="Times New Roman"/>
                <w:b w:val="0"/>
                <w:bCs/>
                <w:szCs w:val="21"/>
                <w:lang w:val="en-US" w:eastAsia="zh-CN"/>
              </w:rPr>
              <w:t>310</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rPr>
              <w:t>0.</w:t>
            </w:r>
            <w:r>
              <w:rPr>
                <w:rFonts w:hint="default" w:ascii="Times New Roman" w:hAnsi="Times New Roman" w:cs="Times New Roman"/>
                <w:b w:val="0"/>
                <w:bCs/>
                <w:color w:val="auto"/>
                <w:szCs w:val="21"/>
                <w:lang w:val="en-US" w:eastAsia="zh-CN"/>
              </w:rPr>
              <w:t>316</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0.001</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120" w:rightChars="5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w:t>
            </w:r>
          </w:p>
        </w:tc>
        <w:tc>
          <w:tcPr>
            <w:tcW w:w="1147"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0.317</w:t>
            </w:r>
          </w:p>
        </w:tc>
      </w:tr>
      <w:tr>
        <w:tblPrEx>
          <w:tblCellMar>
            <w:top w:w="0" w:type="dxa"/>
            <w:left w:w="0" w:type="dxa"/>
            <w:bottom w:w="0" w:type="dxa"/>
            <w:right w:w="0" w:type="dxa"/>
          </w:tblCellMar>
        </w:tblPrEx>
        <w:trPr>
          <w:trHeight w:val="90" w:hRule="atLeast"/>
          <w:jc w:val="center"/>
        </w:trPr>
        <w:tc>
          <w:tcPr>
            <w:tcW w:w="1405" w:type="dxa"/>
            <w:vMerge w:val="continue"/>
            <w:tcBorders>
              <w:left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eastAsia"/>
                <w:b w:val="0"/>
                <w:bCs/>
                <w:color w:val="auto"/>
                <w:kern w:val="0"/>
                <w:szCs w:val="21"/>
              </w:rPr>
              <w:t>SO</w:t>
            </w:r>
            <w:r>
              <w:rPr>
                <w:rFonts w:hint="eastAsia"/>
                <w:b w:val="0"/>
                <w:bCs/>
                <w:color w:val="auto"/>
                <w:kern w:val="0"/>
                <w:szCs w:val="21"/>
                <w:vertAlign w:val="subscript"/>
              </w:rPr>
              <w:t>2</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000000"/>
                <w:sz w:val="24"/>
                <w:szCs w:val="21"/>
                <w:lang w:val="en-US" w:eastAsia="zh-CN" w:bidi="ar-SA"/>
              </w:rPr>
            </w:pPr>
            <w:r>
              <w:rPr>
                <w:rFonts w:hint="default" w:ascii="Times New Roman" w:hAnsi="Times New Roman" w:cs="Times New Roman"/>
                <w:b w:val="0"/>
                <w:bCs/>
                <w:color w:val="000000"/>
                <w:sz w:val="24"/>
                <w:szCs w:val="21"/>
                <w:lang w:val="en-US" w:eastAsia="zh-CN" w:bidi="ar-SA"/>
              </w:rPr>
              <w:t>1.776</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2.48</w:t>
            </w:r>
            <w:r>
              <w:rPr>
                <w:rFonts w:hint="default" w:ascii="Times New Roman" w:hAnsi="Times New Roman" w:cs="Times New Roman"/>
                <w:b w:val="0"/>
                <w:bCs/>
                <w:color w:val="auto"/>
                <w:szCs w:val="21"/>
              </w:rPr>
              <w:t>6</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120" w:rightChars="5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w:t>
            </w:r>
          </w:p>
        </w:tc>
        <w:tc>
          <w:tcPr>
            <w:tcW w:w="114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2.48</w:t>
            </w:r>
            <w:r>
              <w:rPr>
                <w:rFonts w:hint="default" w:ascii="Times New Roman" w:hAnsi="Times New Roman" w:cs="Times New Roman"/>
                <w:b w:val="0"/>
                <w:bCs/>
                <w:color w:val="auto"/>
                <w:szCs w:val="21"/>
              </w:rPr>
              <w:t>6</w:t>
            </w:r>
          </w:p>
        </w:tc>
      </w:tr>
      <w:tr>
        <w:tblPrEx>
          <w:tblCellMar>
            <w:top w:w="0" w:type="dxa"/>
            <w:left w:w="0" w:type="dxa"/>
            <w:bottom w:w="0" w:type="dxa"/>
            <w:right w:w="0" w:type="dxa"/>
          </w:tblCellMar>
        </w:tblPrEx>
        <w:trPr>
          <w:trHeight w:val="90" w:hRule="atLeast"/>
          <w:jc w:val="center"/>
        </w:trPr>
        <w:tc>
          <w:tcPr>
            <w:tcW w:w="1405" w:type="dxa"/>
            <w:vMerge w:val="continue"/>
            <w:tcBorders>
              <w:left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eastAsia"/>
                <w:b w:val="0"/>
                <w:bCs/>
                <w:color w:val="auto"/>
                <w:kern w:val="0"/>
                <w:szCs w:val="21"/>
              </w:rPr>
              <w:t>NO</w:t>
            </w:r>
            <w:r>
              <w:rPr>
                <w:rFonts w:hint="eastAsia"/>
                <w:b w:val="0"/>
                <w:bCs/>
                <w:color w:val="auto"/>
                <w:kern w:val="0"/>
                <w:szCs w:val="21"/>
                <w:vertAlign w:val="subscript"/>
              </w:rPr>
              <w:t>x</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000000"/>
                <w:sz w:val="24"/>
                <w:szCs w:val="21"/>
                <w:lang w:val="en-US" w:eastAsia="zh-CN" w:bidi="ar-SA"/>
              </w:rPr>
            </w:pPr>
            <w:r>
              <w:rPr>
                <w:rFonts w:hint="default" w:ascii="Times New Roman" w:hAnsi="Times New Roman" w:cs="Times New Roman"/>
                <w:b w:val="0"/>
                <w:bCs/>
                <w:color w:val="000000"/>
                <w:sz w:val="24"/>
                <w:szCs w:val="21"/>
                <w:lang w:val="en-US" w:eastAsia="zh-CN" w:bidi="ar-SA"/>
              </w:rPr>
              <w:t>6.723</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13.373</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default" w:ascii="Times New Roman" w:hAnsi="Times New Roman"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120" w:rightChars="5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120" w:rightChars="5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w:t>
            </w:r>
          </w:p>
        </w:tc>
        <w:tc>
          <w:tcPr>
            <w:tcW w:w="114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13.373</w:t>
            </w:r>
          </w:p>
        </w:tc>
      </w:tr>
      <w:tr>
        <w:tblPrEx>
          <w:tblCellMar>
            <w:top w:w="0" w:type="dxa"/>
            <w:left w:w="0" w:type="dxa"/>
            <w:bottom w:w="0" w:type="dxa"/>
            <w:right w:w="0" w:type="dxa"/>
          </w:tblCellMar>
        </w:tblPrEx>
        <w:trPr>
          <w:trHeight w:val="90" w:hRule="atLeast"/>
          <w:jc w:val="center"/>
        </w:trPr>
        <w:tc>
          <w:tcPr>
            <w:tcW w:w="1405" w:type="dxa"/>
            <w:vMerge w:val="continue"/>
            <w:tcBorders>
              <w:left w:val="single" w:color="000000" w:sz="6" w:space="0"/>
              <w:bottom w:val="single" w:color="000000" w:sz="6" w:space="0"/>
              <w:right w:val="single" w:color="000000" w:sz="6" w:space="0"/>
            </w:tcBorders>
            <w:shd w:val="clear" w:color="auto" w:fill="FFFFFF"/>
            <w:vAlign w:val="center"/>
          </w:tcPr>
          <w:p>
            <w:pPr>
              <w:shd w:val="clear"/>
              <w:rPr>
                <w:rFonts w:ascii="Times New Roman" w:hAnsi="Times New Roman"/>
                <w:color w:val="auto"/>
                <w:highlight w:val="none"/>
              </w:rPr>
            </w:pPr>
          </w:p>
        </w:tc>
        <w:tc>
          <w:tcPr>
            <w:tcW w:w="1515"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0"/>
                <w:sz w:val="21"/>
                <w:szCs w:val="21"/>
                <w:lang w:val="en-US" w:eastAsia="zh-CN" w:bidi="ar-SA"/>
              </w:rPr>
            </w:pPr>
            <w:r>
              <w:rPr>
                <w:rFonts w:hint="default"/>
                <w:b w:val="0"/>
                <w:bCs/>
                <w:color w:val="auto"/>
                <w:kern w:val="0"/>
                <w:szCs w:val="21"/>
              </w:rPr>
              <w:t>VOCs</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sz w:val="24"/>
                <w:szCs w:val="21"/>
                <w:lang w:val="en-US" w:eastAsia="zh-CN" w:bidi="ar-SA"/>
              </w:rPr>
            </w:pPr>
            <w:r>
              <w:rPr>
                <w:rFonts w:hint="default" w:ascii="Times New Roman" w:hAnsi="Times New Roman" w:cs="Times New Roman"/>
                <w:b w:val="0"/>
                <w:bCs/>
                <w:color w:val="auto"/>
                <w:szCs w:val="21"/>
                <w:lang w:val="en-US" w:eastAsia="zh-CN"/>
              </w:rPr>
              <w:t>47.453</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48.093</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default" w:ascii="Times New Roman" w:hAnsi="Times New Roman"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120" w:rightChars="5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w:t>
            </w:r>
          </w:p>
        </w:tc>
        <w:tc>
          <w:tcPr>
            <w:tcW w:w="1142"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pageBreakBefore w:val="0"/>
              <w:widowControl w:val="0"/>
              <w:shd w:val="clear"/>
              <w:kinsoku/>
              <w:wordWrap/>
              <w:overflowPunct/>
              <w:topLinePunct w:val="0"/>
              <w:autoSpaceDE w:val="0"/>
              <w:autoSpaceDN w:val="0"/>
              <w:bidi w:val="0"/>
              <w:adjustRightInd w:val="0"/>
              <w:snapToGrid/>
              <w:ind w:left="0" w:leftChars="0" w:right="120" w:rightChars="50"/>
              <w:jc w:val="center"/>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cs="Times New Roman"/>
                <w:color w:val="auto"/>
                <w:sz w:val="24"/>
                <w:szCs w:val="24"/>
                <w:highlight w:val="none"/>
                <w:lang w:val="en-US" w:eastAsia="zh-CN" w:bidi="ar-SA"/>
              </w:rPr>
              <w:t>0</w:t>
            </w:r>
          </w:p>
        </w:tc>
        <w:tc>
          <w:tcPr>
            <w:tcW w:w="1147" w:type="dxa"/>
            <w:tcBorders>
              <w:top w:val="single" w:color="000000" w:sz="6" w:space="0"/>
              <w:left w:val="single" w:color="000000" w:sz="6" w:space="0"/>
              <w:bottom w:val="single" w:color="000000" w:sz="6" w:space="0"/>
              <w:right w:val="single" w:color="000000" w:sz="6" w:space="0"/>
            </w:tcBorders>
            <w:shd w:val="clear" w:color="auto" w:fill="FFFFFF"/>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Cs w:val="21"/>
                <w:lang w:val="en-US" w:eastAsia="zh-CN"/>
              </w:rPr>
              <w:t>48.093</w:t>
            </w:r>
          </w:p>
        </w:tc>
      </w:tr>
      <w:tr>
        <w:tblPrEx>
          <w:tblCellMar>
            <w:top w:w="0" w:type="dxa"/>
            <w:left w:w="0" w:type="dxa"/>
            <w:bottom w:w="0" w:type="dxa"/>
            <w:right w:w="0" w:type="dxa"/>
          </w:tblCellMar>
        </w:tblPrEx>
        <w:trPr>
          <w:trHeight w:val="760" w:hRule="atLeast"/>
          <w:jc w:val="center"/>
        </w:trPr>
        <w:tc>
          <w:tcPr>
            <w:tcW w:w="140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eastAsia" w:ascii="宋体" w:hAnsi="宋体" w:eastAsia="宋体" w:cs="Times New Roman"/>
                <w:color w:val="auto"/>
                <w:sz w:val="24"/>
                <w:szCs w:val="24"/>
                <w:highlight w:val="none"/>
                <w:lang w:val="en-US" w:eastAsia="zh-CN" w:bidi="ar-SA"/>
              </w:rPr>
            </w:pPr>
            <w:r>
              <w:rPr>
                <w:rFonts w:hint="eastAsia" w:ascii="宋体" w:hAnsi="宋体"/>
                <w:b/>
                <w:color w:val="auto"/>
                <w:sz w:val="24"/>
                <w:highlight w:val="none"/>
                <w:lang w:eastAsia="zh-CN"/>
              </w:rPr>
              <w:t>公众参与情况及结论</w:t>
            </w:r>
          </w:p>
        </w:tc>
        <w:tc>
          <w:tcPr>
            <w:tcW w:w="8372" w:type="dxa"/>
            <w:gridSpan w:val="7"/>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right="120" w:rightChars="50"/>
              <w:rPr>
                <w:rFonts w:hint="eastAsia" w:ascii="宋体" w:hAnsi="宋体" w:eastAsia="仿宋_GB2312" w:cs="Times New Roman"/>
                <w:color w:val="auto"/>
                <w:sz w:val="24"/>
                <w:szCs w:val="24"/>
                <w:highlight w:val="none"/>
                <w:lang w:val="en-US" w:eastAsia="zh-CN" w:bidi="ar-SA"/>
              </w:rPr>
            </w:pPr>
            <w:r>
              <w:rPr>
                <w:rFonts w:hint="eastAsia" w:ascii="宋体" w:hAnsi="宋体"/>
                <w:color w:val="auto"/>
                <w:sz w:val="24"/>
                <w:highlight w:val="none"/>
                <w:lang w:val="en-US" w:eastAsia="zh-CN"/>
              </w:rPr>
              <w:t>不涉及。</w:t>
            </w:r>
          </w:p>
        </w:tc>
      </w:tr>
      <w:tr>
        <w:tblPrEx>
          <w:tblCellMar>
            <w:top w:w="0" w:type="dxa"/>
            <w:left w:w="0" w:type="dxa"/>
            <w:bottom w:w="0" w:type="dxa"/>
            <w:right w:w="0" w:type="dxa"/>
          </w:tblCellMar>
        </w:tblPrEx>
        <w:trPr>
          <w:trHeight w:val="760" w:hRule="atLeast"/>
          <w:jc w:val="center"/>
        </w:trPr>
        <w:tc>
          <w:tcPr>
            <w:tcW w:w="1405" w:type="dxa"/>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ind w:left="120" w:leftChars="50" w:right="120" w:rightChars="50"/>
              <w:jc w:val="center"/>
              <w:rPr>
                <w:rFonts w:hint="eastAsia" w:ascii="宋体" w:hAnsi="宋体" w:eastAsia="宋体" w:cs="Times New Roman"/>
                <w:b/>
                <w:color w:val="auto"/>
                <w:sz w:val="24"/>
                <w:szCs w:val="24"/>
                <w:highlight w:val="none"/>
                <w:lang w:val="en-US" w:eastAsia="zh-CN" w:bidi="ar-SA"/>
              </w:rPr>
            </w:pPr>
            <w:r>
              <w:rPr>
                <w:rFonts w:hint="eastAsia" w:ascii="宋体" w:hAnsi="宋体"/>
                <w:b/>
                <w:color w:val="auto"/>
                <w:sz w:val="24"/>
                <w:highlight w:val="none"/>
                <w:lang w:eastAsia="zh-CN"/>
              </w:rPr>
              <w:t>信息公开情况说明</w:t>
            </w:r>
          </w:p>
        </w:tc>
        <w:tc>
          <w:tcPr>
            <w:tcW w:w="8372" w:type="dxa"/>
            <w:gridSpan w:val="7"/>
            <w:tcBorders>
              <w:top w:val="single" w:color="000000" w:sz="6" w:space="0"/>
              <w:left w:val="single" w:color="000000" w:sz="6" w:space="0"/>
              <w:bottom w:val="single" w:color="000000" w:sz="6" w:space="0"/>
              <w:right w:val="single" w:color="000000" w:sz="6" w:space="0"/>
            </w:tcBorders>
            <w:shd w:val="clear" w:color="auto" w:fill="FFFFFF"/>
            <w:vAlign w:val="center"/>
          </w:tcPr>
          <w:p>
            <w:pPr>
              <w:shd w:val="clear"/>
              <w:spacing w:line="360" w:lineRule="auto"/>
              <w:ind w:right="120" w:rightChars="50"/>
              <w:rPr>
                <w:rFonts w:hint="eastAsia" w:ascii="宋体" w:hAnsi="宋体" w:eastAsia="宋体" w:cs="Times New Roman"/>
                <w:color w:val="auto"/>
                <w:sz w:val="24"/>
                <w:szCs w:val="24"/>
                <w:highlight w:val="none"/>
                <w:lang w:val="en-US" w:eastAsia="zh-CN" w:bidi="ar-SA"/>
              </w:rPr>
            </w:pPr>
            <w:r>
              <w:rPr>
                <w:rFonts w:hint="eastAsia" w:ascii="宋体" w:hAnsi="宋体"/>
                <w:color w:val="auto"/>
                <w:sz w:val="24"/>
                <w:highlight w:val="none"/>
                <w:lang w:eastAsia="zh-CN"/>
              </w:rPr>
              <w:t>我单位已按照相关规定，将本环境影响登记表信息（涉密内容除外）进行网上信息公开。</w:t>
            </w:r>
          </w:p>
        </w:tc>
      </w:tr>
    </w:tbl>
    <w:p>
      <w:pPr>
        <w:shd w:val="clear"/>
        <w:rPr>
          <w:rFonts w:ascii="Times New Roman" w:hAnsi="Times New Roman"/>
          <w:color w:val="auto"/>
          <w:highlight w:val="none"/>
        </w:rPr>
        <w:sectPr>
          <w:pgSz w:w="11900" w:h="16820"/>
          <w:pgMar w:top="1400" w:right="1100" w:bottom="1420" w:left="1060" w:header="720" w:footer="720" w:gutter="0"/>
          <w:pgNumType w:fmt="decimal"/>
          <w:cols w:space="720" w:num="1"/>
          <w:docGrid w:linePitch="326" w:charSpace="0"/>
        </w:sectPr>
      </w:pPr>
    </w:p>
    <w:p>
      <w:pPr>
        <w:shd w:val="clear"/>
        <w:jc w:val="center"/>
        <w:rPr>
          <w:rFonts w:ascii="Times New Roman" w:hAnsi="Times New Roman"/>
          <w:color w:val="auto"/>
          <w:highlight w:val="none"/>
        </w:rPr>
      </w:pPr>
      <w:r>
        <mc:AlternateContent>
          <mc:Choice Requires="wps">
            <w:drawing>
              <wp:anchor distT="0" distB="0" distL="114300" distR="114300" simplePos="0" relativeHeight="252776448" behindDoc="0" locked="0" layoutInCell="1" allowOverlap="1">
                <wp:simplePos x="0" y="0"/>
                <wp:positionH relativeFrom="column">
                  <wp:posOffset>5876925</wp:posOffset>
                </wp:positionH>
                <wp:positionV relativeFrom="paragraph">
                  <wp:posOffset>2232025</wp:posOffset>
                </wp:positionV>
                <wp:extent cx="952500" cy="314325"/>
                <wp:effectExtent l="190500" t="200025" r="19050" b="19050"/>
                <wp:wrapNone/>
                <wp:docPr id="12" name="矩形标注 12"/>
                <wp:cNvGraphicFramePr/>
                <a:graphic xmlns:a="http://schemas.openxmlformats.org/drawingml/2006/main">
                  <a:graphicData uri="http://schemas.microsoft.com/office/word/2010/wordprocessingShape">
                    <wps:wsp>
                      <wps:cNvSpPr/>
                      <wps:spPr>
                        <a:xfrm>
                          <a:off x="0" y="0"/>
                          <a:ext cx="952500" cy="314325"/>
                        </a:xfrm>
                        <a:prstGeom prst="wedgeRectCallout">
                          <a:avLst>
                            <a:gd name="adj1" fmla="val -62667"/>
                            <a:gd name="adj2" fmla="val -103333"/>
                          </a:avLst>
                        </a:prstGeom>
                        <a:solidFill>
                          <a:srgbClr val="FFFFFF"/>
                        </a:solidFill>
                        <a:ln w="19050" cap="flat" cmpd="sng">
                          <a:solidFill>
                            <a:srgbClr val="FF0000"/>
                          </a:solidFill>
                          <a:prstDash val="solid"/>
                          <a:miter/>
                          <a:headEnd type="none" w="med" len="med"/>
                          <a:tailEnd type="none" w="med" len="med"/>
                        </a:ln>
                      </wps:spPr>
                      <wps:txbx>
                        <w:txbxContent>
                          <w:p>
                            <w:r>
                              <w:rPr>
                                <w:rFonts w:hint="eastAsia"/>
                              </w:rPr>
                              <w:t>项目所在地</w:t>
                            </w:r>
                          </w:p>
                        </w:txbxContent>
                      </wps:txbx>
                      <wps:bodyPr upright="1"/>
                    </wps:wsp>
                  </a:graphicData>
                </a:graphic>
              </wp:anchor>
            </w:drawing>
          </mc:Choice>
          <mc:Fallback>
            <w:pict>
              <v:shape id="_x0000_s1026" o:spid="_x0000_s1026" o:spt="61" type="#_x0000_t61" style="position:absolute;left:0pt;margin-left:462.75pt;margin-top:175.75pt;height:24.75pt;width:75pt;z-index:252776448;mso-width-relative:page;mso-height-relative:page;" fillcolor="#FFFFFF" filled="t" stroked="t" coordsize="21600,21600" o:gfxdata="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IBTtsA&#10;AAAMAQAADwAAAAAAAAABACAAAAAiAAAAZHJzL2Rvd25yZXYueG1sUEsBAhQAFAAAAAgAh07iQG68&#10;nlwcAgAAQwQAAA4AAAAAAAAAAQAgAAAAKgEAAGRycy9lMm9Eb2MueG1sUEsFBgAAAAAGAAYAWQEA&#10;ALgFAAAAAA==&#10;" adj="-2736,-11520">
                <v:fill on="t" focussize="0,0"/>
                <v:stroke weight="1.5pt" color="#FF0000" joinstyle="miter"/>
                <v:imagedata o:title=""/>
                <o:lock v:ext="edit" aspectratio="f"/>
                <v:textbox>
                  <w:txbxContent>
                    <w:p>
                      <w:r>
                        <w:rPr>
                          <w:rFonts w:hint="eastAsia"/>
                        </w:rPr>
                        <w:t>项目所在地</w:t>
                      </w:r>
                    </w:p>
                  </w:txbxContent>
                </v:textbox>
              </v:shape>
            </w:pict>
          </mc:Fallback>
        </mc:AlternateContent>
      </w:r>
      <w:r>
        <mc:AlternateContent>
          <mc:Choice Requires="wps">
            <w:drawing>
              <wp:anchor distT="0" distB="0" distL="114300" distR="114300" simplePos="0" relativeHeight="252774400" behindDoc="0" locked="0" layoutInCell="1" allowOverlap="1">
                <wp:simplePos x="0" y="0"/>
                <wp:positionH relativeFrom="column">
                  <wp:posOffset>5537200</wp:posOffset>
                </wp:positionH>
                <wp:positionV relativeFrom="paragraph">
                  <wp:posOffset>1914525</wp:posOffset>
                </wp:positionV>
                <wp:extent cx="142875" cy="133350"/>
                <wp:effectExtent l="14605" t="15240" r="33020" b="22860"/>
                <wp:wrapNone/>
                <wp:docPr id="11" name="五角星 11"/>
                <wp:cNvGraphicFramePr/>
                <a:graphic xmlns:a="http://schemas.openxmlformats.org/drawingml/2006/main">
                  <a:graphicData uri="http://schemas.microsoft.com/office/word/2010/wordprocessingShape">
                    <wps:wsp>
                      <wps:cNvSpPr/>
                      <wps:spPr>
                        <a:xfrm>
                          <a:off x="0" y="0"/>
                          <a:ext cx="142875" cy="133350"/>
                        </a:xfrm>
                        <a:prstGeom prst="star5">
                          <a:avLst/>
                        </a:prstGeom>
                        <a:solidFill>
                          <a:srgbClr val="FF0000">
                            <a:alpha val="55000"/>
                          </a:srgbClr>
                        </a:solidFill>
                        <a:ln w="9525" cap="flat" cmpd="sng">
                          <a:solidFill>
                            <a:srgbClr val="FF0000"/>
                          </a:solidFill>
                          <a:prstDash val="solid"/>
                          <a:miter/>
                          <a:headEnd type="none" w="med" len="med"/>
                          <a:tailEnd type="none" w="med" len="med"/>
                        </a:ln>
                      </wps:spPr>
                      <wps:txbx>
                        <w:txbxContent>
                          <w:p/>
                        </w:txbxContent>
                      </wps:txbx>
                      <wps:bodyPr upright="1"/>
                    </wps:wsp>
                  </a:graphicData>
                </a:graphic>
              </wp:anchor>
            </w:drawing>
          </mc:Choice>
          <mc:Fallback>
            <w:pict>
              <v:shape id="_x0000_s1026" o:spid="_x0000_s1026" style="position:absolute;left:0pt;margin-left:436pt;margin-top:150.75pt;height:10.5pt;width:11.25pt;z-index:252774400;mso-width-relative:page;mso-height-relative:page;" fillcolor="#FF0000" filled="t" stroked="t" coordsize="142875,133350" o:gfxdata="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KTaNTZAAAACwEAAA8AAAAAAAAAAQAgAAAAIgAAAGRycy9kb3du&#10;cmV2LnhtbFBLAQIUABQAAAAIAIdO4kChUh09/gEAAAEEAAAOAAAAAAAAAAEAIAAAACgBAABkcnMv&#10;ZTJvRG9jLnhtbFBLBQYAAAAABgAGAFkBAACYBQAAAAA=&#10;" path="m0,50935l54573,50935,71437,0,88301,50935,142874,50935,98723,82414,115588,133349,71437,101869,27286,133349,44151,82414xe">
                <v:path textboxrect="0,0,142875,133350" o:connectlocs="71437,0;0,50935;27286,133349;115588,133349;142874,50935" o:connectangles="247,164,82,82,0"/>
                <v:fill on="t" opacity="36044f" focussize="0,0"/>
                <v:stroke color="#FF0000" joinstyle="miter"/>
                <v:imagedata o:title=""/>
                <o:lock v:ext="edit" aspectratio="f"/>
                <v:textbox>
                  <w:txbxContent>
                    <w:p/>
                  </w:txbxContent>
                </v:textbox>
              </v:shape>
            </w:pict>
          </mc:Fallback>
        </mc:AlternateContent>
      </w:r>
      <w:r>
        <w:drawing>
          <wp:inline distT="0" distB="0" distL="114300" distR="114300">
            <wp:extent cx="8128000" cy="5112385"/>
            <wp:effectExtent l="0" t="0" r="6350" b="12065"/>
            <wp:docPr id="10" name="图片 3" descr="海宁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海宁地图"/>
                    <pic:cNvPicPr>
                      <a:picLocks noChangeAspect="1"/>
                    </pic:cNvPicPr>
                  </pic:nvPicPr>
                  <pic:blipFill>
                    <a:blip r:embed="rId14"/>
                    <a:stretch>
                      <a:fillRect/>
                    </a:stretch>
                  </pic:blipFill>
                  <pic:spPr>
                    <a:xfrm>
                      <a:off x="0" y="0"/>
                      <a:ext cx="8128000" cy="5112385"/>
                    </a:xfrm>
                    <a:prstGeom prst="rect">
                      <a:avLst/>
                    </a:prstGeom>
                    <a:noFill/>
                    <a:ln>
                      <a:noFill/>
                    </a:ln>
                  </pic:spPr>
                </pic:pic>
              </a:graphicData>
            </a:graphic>
          </wp:inline>
        </w:drawing>
      </w:r>
    </w:p>
    <w:p>
      <w:pPr>
        <w:shd w:val="clear"/>
        <w:ind w:firstLine="562"/>
        <w:jc w:val="center"/>
        <w:rPr>
          <w:rFonts w:hint="eastAsia" w:ascii="Times New Roman" w:hAnsi="Times New Roman"/>
          <w:b/>
          <w:bCs/>
          <w:color w:val="auto"/>
          <w:sz w:val="24"/>
          <w:szCs w:val="24"/>
          <w:highlight w:val="none"/>
        </w:rPr>
      </w:pPr>
      <w:r>
        <w:rPr>
          <w:rFonts w:hint="eastAsia" w:ascii="Times New Roman" w:hAnsi="Times New Roman"/>
          <w:b/>
          <w:bCs/>
          <w:color w:val="auto"/>
          <w:sz w:val="24"/>
          <w:szCs w:val="24"/>
          <w:highlight w:val="none"/>
        </w:rPr>
        <w:t>附图</w:t>
      </w:r>
      <w:r>
        <w:rPr>
          <w:rFonts w:ascii="Times New Roman" w:hAnsi="Times New Roman"/>
          <w:b/>
          <w:bCs/>
          <w:color w:val="auto"/>
          <w:sz w:val="24"/>
          <w:szCs w:val="24"/>
          <w:highlight w:val="none"/>
        </w:rPr>
        <w:t>1</w:t>
      </w:r>
      <w:r>
        <w:rPr>
          <w:rFonts w:hint="eastAsia" w:ascii="Times New Roman" w:hAnsi="Times New Roman"/>
          <w:b/>
          <w:bCs/>
          <w:color w:val="auto"/>
          <w:sz w:val="24"/>
          <w:szCs w:val="24"/>
          <w:highlight w:val="none"/>
        </w:rPr>
        <w:t>项目地理位置图</w:t>
      </w:r>
    </w:p>
    <w:p>
      <w:pPr>
        <w:pStyle w:val="3"/>
        <w:shd w:val="clear"/>
        <w:ind w:left="0" w:leftChars="0" w:firstLine="0" w:firstLineChars="0"/>
        <w:rPr>
          <w:rFonts w:hint="eastAsia"/>
          <w:highlight w:val="none"/>
        </w:rPr>
        <w:sectPr>
          <w:pgSz w:w="16838" w:h="11906" w:orient="landscape"/>
          <w:pgMar w:top="1440" w:right="1800" w:bottom="1440" w:left="1800" w:header="851" w:footer="992" w:gutter="0"/>
          <w:pgNumType w:fmt="decimal"/>
          <w:cols w:space="720" w:num="1"/>
          <w:docGrid w:type="lines" w:linePitch="312" w:charSpace="0"/>
        </w:sectPr>
      </w:pPr>
    </w:p>
    <w:p>
      <w:pPr>
        <w:keepNext w:val="0"/>
        <w:keepLines w:val="0"/>
        <w:widowControl/>
        <w:suppressLineNumbers w:val="0"/>
        <w:jc w:val="left"/>
      </w:pPr>
      <w:r>
        <w:rPr>
          <w:rFonts w:ascii="宋体" w:hAnsi="宋体" w:eastAsia="宋体" w:cs="宋体"/>
          <w:color w:val="000000"/>
          <w:kern w:val="0"/>
          <w:sz w:val="24"/>
          <w:szCs w:val="24"/>
          <w:lang w:val="en-US" w:eastAsia="zh-CN" w:bidi="ar"/>
        </w:rPr>
        <w:drawing>
          <wp:inline distT="0" distB="0" distL="114300" distR="114300">
            <wp:extent cx="8378190" cy="5266055"/>
            <wp:effectExtent l="0" t="0" r="3810" b="10795"/>
            <wp:docPr id="1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IMG_256"/>
                    <pic:cNvPicPr>
                      <a:picLocks noChangeAspect="1"/>
                    </pic:cNvPicPr>
                  </pic:nvPicPr>
                  <pic:blipFill>
                    <a:blip r:embed="rId15"/>
                    <a:stretch>
                      <a:fillRect/>
                    </a:stretch>
                  </pic:blipFill>
                  <pic:spPr>
                    <a:xfrm>
                      <a:off x="0" y="0"/>
                      <a:ext cx="8378190" cy="5266055"/>
                    </a:xfrm>
                    <a:prstGeom prst="rect">
                      <a:avLst/>
                    </a:prstGeom>
                    <a:noFill/>
                    <a:ln w="9525">
                      <a:noFill/>
                    </a:ln>
                  </pic:spPr>
                </pic:pic>
              </a:graphicData>
            </a:graphic>
          </wp:inline>
        </w:drawing>
      </w:r>
    </w:p>
    <w:p>
      <w:pPr>
        <w:keepNext w:val="0"/>
        <w:keepLines w:val="0"/>
        <w:widowControl/>
        <w:suppressLineNumbers w:val="0"/>
        <w:shd w:val="clear"/>
        <w:jc w:val="left"/>
        <w:rPr>
          <w:rFonts w:hint="eastAsia" w:ascii="Times New Roman" w:hAnsi="Times New Roman" w:eastAsia="宋体"/>
          <w:color w:val="auto"/>
          <w:highlight w:val="none"/>
          <w:lang w:eastAsia="zh-CN"/>
        </w:rPr>
      </w:pPr>
    </w:p>
    <w:p>
      <w:pPr>
        <w:shd w:val="clear"/>
        <w:jc w:val="center"/>
        <w:rPr>
          <w:rFonts w:hint="eastAsia" w:ascii="Times New Roman" w:hAnsi="Times New Roman"/>
          <w:b/>
          <w:color w:val="auto"/>
          <w:sz w:val="24"/>
          <w:szCs w:val="24"/>
          <w:highlight w:val="none"/>
        </w:rPr>
      </w:pPr>
      <w:r>
        <w:rPr>
          <w:rFonts w:hint="eastAsia" w:ascii="Times New Roman" w:hAnsi="Times New Roman"/>
          <w:b/>
          <w:bCs/>
          <w:color w:val="auto"/>
          <w:sz w:val="24"/>
          <w:szCs w:val="24"/>
          <w:highlight w:val="none"/>
        </w:rPr>
        <w:t>附图</w:t>
      </w:r>
      <w:r>
        <w:rPr>
          <w:rFonts w:ascii="Times New Roman" w:hAnsi="Times New Roman"/>
          <w:b/>
          <w:bCs/>
          <w:color w:val="auto"/>
          <w:sz w:val="24"/>
          <w:szCs w:val="24"/>
          <w:highlight w:val="none"/>
        </w:rPr>
        <w:t>2</w:t>
      </w:r>
      <w:r>
        <w:rPr>
          <w:rFonts w:hint="eastAsia" w:ascii="Times New Roman" w:hAnsi="Times New Roman"/>
          <w:b/>
          <w:color w:val="auto"/>
          <w:sz w:val="24"/>
          <w:szCs w:val="24"/>
          <w:highlight w:val="none"/>
        </w:rPr>
        <w:t>周边环境示意图</w:t>
      </w:r>
    </w:p>
    <w:p>
      <w:pPr>
        <w:pStyle w:val="2"/>
        <w:rPr>
          <w:rFonts w:hint="eastAsia" w:eastAsia="宋体"/>
          <w:lang w:eastAsia="zh-CN"/>
        </w:rPr>
      </w:pPr>
      <w:r>
        <w:rPr>
          <w:rFonts w:hint="eastAsia" w:eastAsia="宋体"/>
          <w:lang w:eastAsia="zh-CN"/>
        </w:rPr>
        <w:drawing>
          <wp:inline distT="0" distB="0" distL="114300" distR="114300">
            <wp:extent cx="7412990" cy="5252085"/>
            <wp:effectExtent l="0" t="0" r="16510" b="5715"/>
            <wp:docPr id="14" name="图片 14" descr="明士达三期总图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明士达三期总图2020.5"/>
                    <pic:cNvPicPr>
                      <a:picLocks noChangeAspect="1"/>
                    </pic:cNvPicPr>
                  </pic:nvPicPr>
                  <pic:blipFill>
                    <a:blip r:embed="rId16"/>
                    <a:stretch>
                      <a:fillRect/>
                    </a:stretch>
                  </pic:blipFill>
                  <pic:spPr>
                    <a:xfrm>
                      <a:off x="0" y="0"/>
                      <a:ext cx="7412990" cy="5252085"/>
                    </a:xfrm>
                    <a:prstGeom prst="rect">
                      <a:avLst/>
                    </a:prstGeom>
                  </pic:spPr>
                </pic:pic>
              </a:graphicData>
            </a:graphic>
          </wp:inline>
        </w:drawing>
      </w:r>
    </w:p>
    <w:p>
      <w:pPr>
        <w:shd w:val="clear"/>
        <w:ind w:left="0" w:leftChars="0" w:firstLine="0" w:firstLineChars="0"/>
        <w:jc w:val="center"/>
        <w:rPr>
          <w:rFonts w:ascii="Times New Roman" w:hAnsi="Times New Roman"/>
          <w:color w:val="auto"/>
          <w:highlight w:val="none"/>
        </w:rPr>
      </w:pPr>
      <w:r>
        <w:rPr>
          <w:rFonts w:hint="eastAsia"/>
          <w:b/>
          <w:bCs/>
          <w:color w:val="auto"/>
          <w:sz w:val="24"/>
          <w:szCs w:val="24"/>
          <w:highlight w:val="none"/>
        </w:rPr>
        <w:t>附图</w:t>
      </w:r>
      <w:r>
        <w:rPr>
          <w:rFonts w:hint="eastAsia" w:ascii="Times New Roman" w:hAnsi="Times New Roman"/>
          <w:b/>
          <w:bCs/>
          <w:color w:val="auto"/>
          <w:sz w:val="24"/>
          <w:szCs w:val="24"/>
          <w:highlight w:val="none"/>
          <w:lang w:val="en-US" w:eastAsia="zh-CN"/>
        </w:rPr>
        <w:t xml:space="preserve">3 </w:t>
      </w:r>
      <w:r>
        <w:rPr>
          <w:rFonts w:hint="eastAsia"/>
          <w:b/>
          <w:bCs/>
          <w:color w:val="auto"/>
          <w:sz w:val="24"/>
          <w:szCs w:val="24"/>
          <w:highlight w:val="none"/>
        </w:rPr>
        <w:t>厂区总平面布置图</w:t>
      </w:r>
    </w:p>
    <w:p>
      <w:pPr>
        <w:widowControl/>
        <w:shd w:val="clear"/>
        <w:rPr>
          <w:rFonts w:ascii="Times New Roman" w:hAnsi="Times New Roman"/>
          <w:color w:val="auto"/>
          <w:highlight w:val="none"/>
        </w:rPr>
        <w:sectPr>
          <w:pgSz w:w="16838" w:h="11906" w:orient="landscape"/>
          <w:pgMar w:top="1440" w:right="1797" w:bottom="1440" w:left="1797" w:header="851" w:footer="992" w:gutter="0"/>
          <w:pgNumType w:fmt="decimal"/>
          <w:cols w:space="0" w:num="1"/>
          <w:rtlGutter w:val="0"/>
          <w:docGrid w:type="lines" w:linePitch="334" w:charSpace="0"/>
        </w:sectPr>
      </w:pPr>
    </w:p>
    <w:p>
      <w:pPr>
        <w:rPr>
          <w:rFonts w:ascii="Times New Roman" w:hAnsi="Times New Roman"/>
          <w:color w:val="auto"/>
          <w:highlight w:val="none"/>
        </w:rPr>
      </w:pPr>
      <w:r>
        <w:rPr>
          <w:rFonts w:ascii="宋体" w:hAnsi="宋体" w:cs="宋体"/>
          <w:kern w:val="0"/>
          <w:sz w:val="24"/>
          <w:szCs w:val="24"/>
        </w:rPr>
        <mc:AlternateContent>
          <mc:Choice Requires="wps">
            <w:drawing>
              <wp:anchor distT="0" distB="0" distL="114300" distR="114300" simplePos="0" relativeHeight="252778496" behindDoc="0" locked="0" layoutInCell="1" allowOverlap="1">
                <wp:simplePos x="0" y="0"/>
                <wp:positionH relativeFrom="column">
                  <wp:posOffset>5043805</wp:posOffset>
                </wp:positionH>
                <wp:positionV relativeFrom="paragraph">
                  <wp:posOffset>1657350</wp:posOffset>
                </wp:positionV>
                <wp:extent cx="923925" cy="304800"/>
                <wp:effectExtent l="4445" t="4445" r="195580" b="414655"/>
                <wp:wrapNone/>
                <wp:docPr id="19" name="矩形标注 19"/>
                <wp:cNvGraphicFramePr/>
                <a:graphic xmlns:a="http://schemas.openxmlformats.org/drawingml/2006/main">
                  <a:graphicData uri="http://schemas.microsoft.com/office/word/2010/wordprocessingShape">
                    <wps:wsp>
                      <wps:cNvSpPr/>
                      <wps:spPr>
                        <a:xfrm>
                          <a:off x="0" y="0"/>
                          <a:ext cx="923925" cy="304800"/>
                        </a:xfrm>
                        <a:prstGeom prst="wedgeRectCallout">
                          <a:avLst>
                            <a:gd name="adj1" fmla="val 66634"/>
                            <a:gd name="adj2" fmla="val 173125"/>
                          </a:avLst>
                        </a:prstGeom>
                        <a:solidFill>
                          <a:srgbClr val="FFFFFF"/>
                        </a:solidFill>
                        <a:ln w="9525" cap="flat" cmpd="sng">
                          <a:solidFill>
                            <a:srgbClr val="FF0000"/>
                          </a:solidFill>
                          <a:prstDash val="solid"/>
                          <a:miter/>
                          <a:headEnd type="none" w="med" len="med"/>
                          <a:tailEnd type="none" w="med" len="med"/>
                        </a:ln>
                      </wps:spPr>
                      <wps:txbx>
                        <w:txbxContent>
                          <w:p>
                            <w:pPr>
                              <w:rPr>
                                <w:b/>
                              </w:rPr>
                            </w:pPr>
                            <w:r>
                              <w:rPr>
                                <w:rFonts w:hint="eastAsia"/>
                                <w:b/>
                              </w:rPr>
                              <w:t>项目所在地</w:t>
                            </w:r>
                          </w:p>
                        </w:txbxContent>
                      </wps:txbx>
                      <wps:bodyPr upright="1"/>
                    </wps:wsp>
                  </a:graphicData>
                </a:graphic>
              </wp:anchor>
            </w:drawing>
          </mc:Choice>
          <mc:Fallback>
            <w:pict>
              <v:shape id="_x0000_s1026" o:spid="_x0000_s1026" o:spt="61" type="#_x0000_t61" style="position:absolute;left:0pt;margin-left:397.15pt;margin-top:130.5pt;height:24pt;width:72.75pt;z-index:252778496;mso-width-relative:page;mso-height-relative:page;" fillcolor="#FFFFFF" filled="t" stroked="t" coordsize="21600,21600" o:gfxdata="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J7eKS2gAA&#10;AAsBAAAPAAAAAAAAAAEAIAAAACIAAABkcnMvZG93bnJldi54bWxQSwECFAAUAAAACACHTuJAgNgi&#10;sRwCAABABAAADgAAAAAAAAABACAAAAApAQAAZHJzL2Uyb0RvYy54bWxQSwUGAAAAAAYABgBZAQAA&#10;twUAAAAA&#10;" adj="25193,48195">
                <v:fill on="t" focussize="0,0"/>
                <v:stroke color="#FF0000" joinstyle="miter"/>
                <v:imagedata o:title=""/>
                <o:lock v:ext="edit" aspectratio="f"/>
                <v:textbox>
                  <w:txbxContent>
                    <w:p>
                      <w:pPr>
                        <w:rPr>
                          <w:b/>
                        </w:rPr>
                      </w:pPr>
                      <w:r>
                        <w:rPr>
                          <w:rFonts w:hint="eastAsia"/>
                          <w:b/>
                        </w:rPr>
                        <w:t>项目所在地</w:t>
                      </w:r>
                    </w:p>
                  </w:txbxContent>
                </v:textbox>
              </v:shape>
            </w:pict>
          </mc:Fallback>
        </mc:AlternateContent>
      </w:r>
      <w:r>
        <w:rPr>
          <w:rFonts w:ascii="宋体" w:hAnsi="宋体" w:cs="宋体"/>
          <w:kern w:val="0"/>
          <w:sz w:val="24"/>
          <w:szCs w:val="24"/>
        </w:rPr>
        <mc:AlternateContent>
          <mc:Choice Requires="wps">
            <w:drawing>
              <wp:anchor distT="0" distB="0" distL="114300" distR="114300" simplePos="0" relativeHeight="252779520" behindDoc="0" locked="0" layoutInCell="1" allowOverlap="1">
                <wp:simplePos x="0" y="0"/>
                <wp:positionH relativeFrom="column">
                  <wp:posOffset>6070600</wp:posOffset>
                </wp:positionH>
                <wp:positionV relativeFrom="paragraph">
                  <wp:posOffset>2273300</wp:posOffset>
                </wp:positionV>
                <wp:extent cx="104775" cy="114300"/>
                <wp:effectExtent l="13335" t="17780" r="15240" b="20320"/>
                <wp:wrapNone/>
                <wp:docPr id="17" name="五角星 17"/>
                <wp:cNvGraphicFramePr/>
                <a:graphic xmlns:a="http://schemas.openxmlformats.org/drawingml/2006/main">
                  <a:graphicData uri="http://schemas.microsoft.com/office/word/2010/wordprocessingShape">
                    <wps:wsp>
                      <wps:cNvSpPr/>
                      <wps:spPr>
                        <a:xfrm>
                          <a:off x="0" y="0"/>
                          <a:ext cx="104775" cy="114300"/>
                        </a:xfrm>
                        <a:prstGeom prst="star5">
                          <a:avLst/>
                        </a:prstGeom>
                        <a:solidFill>
                          <a:srgbClr val="FF0000">
                            <a:alpha val="55000"/>
                          </a:srgbClr>
                        </a:solidFill>
                        <a:ln w="9525" cap="flat" cmpd="sng">
                          <a:solidFill>
                            <a:srgbClr val="FF0000"/>
                          </a:solidFill>
                          <a:prstDash val="solid"/>
                          <a:miter/>
                          <a:headEnd type="none" w="med" len="med"/>
                          <a:tailEnd type="none" w="med" len="med"/>
                        </a:ln>
                      </wps:spPr>
                      <wps:txbx>
                        <w:txbxContent>
                          <w:p/>
                        </w:txbxContent>
                      </wps:txbx>
                      <wps:bodyPr upright="1"/>
                    </wps:wsp>
                  </a:graphicData>
                </a:graphic>
              </wp:anchor>
            </w:drawing>
          </mc:Choice>
          <mc:Fallback>
            <w:pict>
              <v:shape id="_x0000_s1026" o:spid="_x0000_s1026" style="position:absolute;left:0pt;margin-left:478pt;margin-top:179pt;height:9pt;width:8.25pt;z-index:252779520;mso-width-relative:page;mso-height-relative:page;" fillcolor="#FF0000" filled="t" stroked="t" coordsize="104775,114300" o:gfxdata="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fdfDNgAAAALAQAADwAAAAAAAAABACAAAAAiAAAAZHJzL2Rvd25y&#10;ZXYueG1sUEsBAhQAFAAAAAgAh07iQPbqTiD+AQAAAQQAAA4AAAAAAAAAAQAgAAAAJwEAAGRycy9l&#10;Mm9Eb2MueG1sUEsFBgAAAAAGAAYAWQEAAJcFAAAAAA==&#10;" path="m0,43658l40020,43658,52387,0,64754,43658,104774,43658,72397,70640,84764,114299,52387,87316,20010,114299,32377,70640xe">
                <v:path textboxrect="0,0,104775,114300" o:connectlocs="52387,0;0,43658;20010,114299;84764,114299;104774,43658" o:connectangles="247,164,82,82,0"/>
                <v:fill on="t" opacity="36044f" focussize="0,0"/>
                <v:stroke color="#FF0000" joinstyle="miter"/>
                <v:imagedata o:title=""/>
                <o:lock v:ext="edit" aspectratio="f"/>
                <v:textbox>
                  <w:txbxContent>
                    <w:p/>
                  </w:txbxContent>
                </v:textbox>
              </v:shape>
            </w:pict>
          </mc:Fallback>
        </mc:AlternateContent>
      </w:r>
      <w:r>
        <w:rPr>
          <w:rFonts w:ascii="宋体" w:hAnsi="宋体" w:cs="宋体"/>
          <w:kern w:val="0"/>
          <w:sz w:val="24"/>
          <w:szCs w:val="24"/>
        </w:rPr>
        <mc:AlternateContent>
          <mc:Choice Requires="wps">
            <w:drawing>
              <wp:anchor distT="0" distB="0" distL="114300" distR="114300" simplePos="0" relativeHeight="252777472" behindDoc="0" locked="0" layoutInCell="1" allowOverlap="1">
                <wp:simplePos x="0" y="0"/>
                <wp:positionH relativeFrom="column">
                  <wp:posOffset>2165350</wp:posOffset>
                </wp:positionH>
                <wp:positionV relativeFrom="paragraph">
                  <wp:posOffset>5243195</wp:posOffset>
                </wp:positionV>
                <wp:extent cx="4295775" cy="40005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4295775" cy="400050"/>
                        </a:xfrm>
                        <a:prstGeom prst="rect">
                          <a:avLst/>
                        </a:prstGeom>
                        <a:noFill/>
                        <a:ln>
                          <a:noFill/>
                        </a:ln>
                      </wps:spPr>
                      <wps:txbx>
                        <w:txbxContent>
                          <w:p>
                            <w:pPr>
                              <w:jc w:val="center"/>
                              <w:rPr>
                                <w:rFonts w:ascii="Times New Roman" w:hAnsi="Times New Roman"/>
                                <w:b/>
                                <w:sz w:val="28"/>
                              </w:rPr>
                            </w:pPr>
                            <w:r>
                              <w:rPr>
                                <w:rFonts w:ascii="Times New Roman"/>
                                <w:b/>
                                <w:sz w:val="28"/>
                              </w:rPr>
                              <w:t>附图</w:t>
                            </w:r>
                            <w:r>
                              <w:rPr>
                                <w:rFonts w:hint="eastAsia" w:ascii="Times New Roman" w:hAnsi="Times New Roman"/>
                                <w:b/>
                                <w:sz w:val="28"/>
                                <w:lang w:val="en-US" w:eastAsia="zh-CN"/>
                              </w:rPr>
                              <w:t>4</w:t>
                            </w:r>
                            <w:r>
                              <w:rPr>
                                <w:rFonts w:hint="eastAsia" w:ascii="Times New Roman"/>
                                <w:b/>
                                <w:sz w:val="28"/>
                              </w:rPr>
                              <w:t xml:space="preserve"> 地表水环境功能区划</w:t>
                            </w:r>
                            <w:r>
                              <w:rPr>
                                <w:rFonts w:ascii="Times New Roman"/>
                                <w:b/>
                                <w:sz w:val="28"/>
                              </w:rPr>
                              <w:t>图</w:t>
                            </w:r>
                          </w:p>
                        </w:txbxContent>
                      </wps:txbx>
                      <wps:bodyPr upright="1"/>
                    </wps:wsp>
                  </a:graphicData>
                </a:graphic>
              </wp:anchor>
            </w:drawing>
          </mc:Choice>
          <mc:Fallback>
            <w:pict>
              <v:shape id="_x0000_s1026" o:spid="_x0000_s1026" o:spt="202" type="#_x0000_t202" style="position:absolute;left:0pt;margin-left:170.5pt;margin-top:412.85pt;height:31.5pt;width:338.25pt;z-index:252777472;mso-width-relative:page;mso-height-relative:page;" filled="f" stroked="f" coordsize="21600,21600" o:gfxdata="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PHAx5zZAAAADAEAAA8AAAAAAAAAAQAgAAAAIgAAAGRycy9k&#10;b3ducmV2LnhtbFBLAQIUABQAAAAIAIdO4kAEtd1+jwEAAAIDAAAOAAAAAAAAAAEAIAAAACgBAABk&#10;cnMvZTJvRG9jLnhtbFBLBQYAAAAABgAGAFkBAAApBQAAAAA=&#10;">
                <v:fill on="f" focussize="0,0"/>
                <v:stroke on="f"/>
                <v:imagedata o:title=""/>
                <o:lock v:ext="edit" aspectratio="f"/>
                <v:textbox>
                  <w:txbxContent>
                    <w:p>
                      <w:pPr>
                        <w:jc w:val="center"/>
                        <w:rPr>
                          <w:rFonts w:ascii="Times New Roman" w:hAnsi="Times New Roman"/>
                          <w:b/>
                          <w:sz w:val="28"/>
                        </w:rPr>
                      </w:pPr>
                      <w:r>
                        <w:rPr>
                          <w:rFonts w:ascii="Times New Roman"/>
                          <w:b/>
                          <w:sz w:val="28"/>
                        </w:rPr>
                        <w:t>附图</w:t>
                      </w:r>
                      <w:r>
                        <w:rPr>
                          <w:rFonts w:hint="eastAsia" w:ascii="Times New Roman" w:hAnsi="Times New Roman"/>
                          <w:b/>
                          <w:sz w:val="28"/>
                          <w:lang w:val="en-US" w:eastAsia="zh-CN"/>
                        </w:rPr>
                        <w:t>4</w:t>
                      </w:r>
                      <w:r>
                        <w:rPr>
                          <w:rFonts w:hint="eastAsia" w:ascii="Times New Roman"/>
                          <w:b/>
                          <w:sz w:val="28"/>
                        </w:rPr>
                        <w:t xml:space="preserve"> 地表水环境功能区划</w:t>
                      </w:r>
                      <w:r>
                        <w:rPr>
                          <w:rFonts w:ascii="Times New Roman"/>
                          <w:b/>
                          <w:sz w:val="28"/>
                        </w:rPr>
                        <w:t>图</w:t>
                      </w:r>
                    </w:p>
                  </w:txbxContent>
                </v:textbox>
              </v:shape>
            </w:pict>
          </mc:Fallback>
        </mc:AlternateContent>
      </w:r>
      <w:r>
        <w:drawing>
          <wp:inline distT="0" distB="0" distL="114300" distR="114300">
            <wp:extent cx="9190990" cy="5460365"/>
            <wp:effectExtent l="0" t="0" r="10160" b="6985"/>
            <wp:docPr id="15" name="图片 5" descr="海宁市－横（整理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海宁市－横（整理后）"/>
                    <pic:cNvPicPr>
                      <a:picLocks noChangeAspect="1"/>
                    </pic:cNvPicPr>
                  </pic:nvPicPr>
                  <pic:blipFill>
                    <a:blip r:embed="rId17"/>
                    <a:stretch>
                      <a:fillRect/>
                    </a:stretch>
                  </pic:blipFill>
                  <pic:spPr>
                    <a:xfrm>
                      <a:off x="0" y="0"/>
                      <a:ext cx="9190990" cy="5460365"/>
                    </a:xfrm>
                    <a:prstGeom prst="rect">
                      <a:avLst/>
                    </a:prstGeom>
                    <a:noFill/>
                    <a:ln>
                      <a:noFill/>
                    </a:ln>
                  </pic:spPr>
                </pic:pic>
              </a:graphicData>
            </a:graphic>
          </wp:inline>
        </w:drawing>
      </w:r>
    </w:p>
    <w:p>
      <w:pPr>
        <w:pStyle w:val="25"/>
        <w:shd w:val="clear"/>
        <w:adjustRightInd w:val="0"/>
        <w:snapToGrid w:val="0"/>
        <w:spacing w:line="240" w:lineRule="auto"/>
        <w:ind w:firstLine="0" w:firstLineChars="0"/>
        <w:jc w:val="both"/>
        <w:rPr>
          <w:rFonts w:ascii="Times New Roman" w:hAnsi="Times New Roman" w:cs="Times New Roman"/>
          <w:b/>
          <w:color w:val="auto"/>
          <w:highlight w:val="none"/>
        </w:rPr>
        <w:sectPr>
          <w:pgSz w:w="16838" w:h="11906" w:orient="landscape"/>
          <w:pgMar w:top="1440" w:right="1800" w:bottom="1440" w:left="1800" w:header="851" w:footer="992" w:gutter="0"/>
          <w:pgNumType w:fmt="decimal"/>
          <w:cols w:space="720" w:num="1"/>
          <w:docGrid w:type="lines" w:linePitch="312" w:charSpace="0"/>
        </w:sectPr>
      </w:pPr>
    </w:p>
    <w:p>
      <w:pPr>
        <w:rPr>
          <w:rFonts w:ascii="Times New Roman" w:hAnsi="Times New Roman" w:cs="Times New Roman"/>
          <w:color w:val="auto"/>
          <w:kern w:val="0"/>
          <w:highlight w:val="none"/>
        </w:rPr>
      </w:pPr>
      <w:r>
        <w:rPr>
          <w:rFonts w:ascii="宋体" w:hAnsi="宋体" w:cs="宋体"/>
          <w:kern w:val="0"/>
          <w:sz w:val="24"/>
          <w:szCs w:val="24"/>
        </w:rPr>
        <mc:AlternateContent>
          <mc:Choice Requires="wps">
            <w:drawing>
              <wp:anchor distT="0" distB="0" distL="114300" distR="114300" simplePos="0" relativeHeight="252782592" behindDoc="0" locked="0" layoutInCell="1" allowOverlap="1">
                <wp:simplePos x="0" y="0"/>
                <wp:positionH relativeFrom="column">
                  <wp:posOffset>2695575</wp:posOffset>
                </wp:positionH>
                <wp:positionV relativeFrom="paragraph">
                  <wp:posOffset>2514600</wp:posOffset>
                </wp:positionV>
                <wp:extent cx="95250" cy="133350"/>
                <wp:effectExtent l="10795" t="22225" r="27305" b="15875"/>
                <wp:wrapNone/>
                <wp:docPr id="21" name="五角星 21"/>
                <wp:cNvGraphicFramePr/>
                <a:graphic xmlns:a="http://schemas.openxmlformats.org/drawingml/2006/main">
                  <a:graphicData uri="http://schemas.microsoft.com/office/word/2010/wordprocessingShape">
                    <wps:wsp>
                      <wps:cNvSpPr/>
                      <wps:spPr>
                        <a:xfrm>
                          <a:off x="0" y="0"/>
                          <a:ext cx="95250" cy="133350"/>
                        </a:xfrm>
                        <a:prstGeom prst="star5">
                          <a:avLst/>
                        </a:prstGeom>
                        <a:solidFill>
                          <a:srgbClr val="FF0000"/>
                        </a:solidFill>
                        <a:ln w="9525" cap="flat" cmpd="sng">
                          <a:solidFill>
                            <a:srgbClr val="FF0000"/>
                          </a:solidFill>
                          <a:prstDash val="solid"/>
                          <a:miter/>
                          <a:headEnd type="none" w="med" len="med"/>
                          <a:tailEnd type="none" w="med" len="med"/>
                        </a:ln>
                      </wps:spPr>
                      <wps:txbx>
                        <w:txbxContent>
                          <w:p/>
                        </w:txbxContent>
                      </wps:txbx>
                      <wps:bodyPr upright="1"/>
                    </wps:wsp>
                  </a:graphicData>
                </a:graphic>
              </wp:anchor>
            </w:drawing>
          </mc:Choice>
          <mc:Fallback>
            <w:pict>
              <v:shape id="_x0000_s1026" o:spid="_x0000_s1026" style="position:absolute;left:0pt;margin-left:212.25pt;margin-top:198pt;height:10.5pt;width:7.5pt;z-index:252782592;mso-width-relative:page;mso-height-relative:page;" fillcolor="#FF0000" filled="t" stroked="t" coordsize="95250,133350" o:gfxdata="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Ud0NF&#10;2gAAAAsBAAAPAAAAAAAAAAEAIAAAACIAAABkcnMvZG93bnJldi54bWxQSwECFAAUAAAACACHTuJA&#10;rJSc5+YBAADfAwAADgAAAAAAAAABACAAAAApAQAAZHJzL2Uyb0RvYy54bWxQSwUGAAAAAAYABgBZ&#10;AQAAgQUAAAAA&#10;" path="m0,50935l36382,50935,47625,0,58867,50935,95249,50935,65815,82414,77058,133349,47625,101869,18191,133349,29434,82414xe">
                <v:path textboxrect="0,0,95250,133350" o:connectlocs="47625,0;0,50935;18191,133349;77058,133349;95249,50935" o:connectangles="247,164,82,82,0"/>
                <v:fill on="t" focussize="0,0"/>
                <v:stroke color="#FF0000" joinstyle="miter"/>
                <v:imagedata o:title=""/>
                <o:lock v:ext="edit" aspectratio="f"/>
                <v:textbox>
                  <w:txbxContent>
                    <w:p/>
                  </w:txbxContent>
                </v:textbox>
              </v:shape>
            </w:pict>
          </mc:Fallback>
        </mc:AlternateContent>
      </w:r>
      <w:r>
        <w:rPr>
          <w:rFonts w:ascii="宋体" w:hAnsi="宋体" w:cs="宋体"/>
          <w:kern w:val="0"/>
          <w:sz w:val="24"/>
          <w:szCs w:val="24"/>
        </w:rPr>
        <mc:AlternateContent>
          <mc:Choice Requires="wps">
            <w:drawing>
              <wp:anchor distT="0" distB="0" distL="114300" distR="114300" simplePos="0" relativeHeight="252781568" behindDoc="0" locked="0" layoutInCell="1" allowOverlap="1">
                <wp:simplePos x="0" y="0"/>
                <wp:positionH relativeFrom="column">
                  <wp:posOffset>3067050</wp:posOffset>
                </wp:positionH>
                <wp:positionV relativeFrom="paragraph">
                  <wp:posOffset>1981200</wp:posOffset>
                </wp:positionV>
                <wp:extent cx="971550" cy="304800"/>
                <wp:effectExtent l="365125" t="4445" r="15875" b="300355"/>
                <wp:wrapNone/>
                <wp:docPr id="23" name="矩形标注 23"/>
                <wp:cNvGraphicFramePr/>
                <a:graphic xmlns:a="http://schemas.openxmlformats.org/drawingml/2006/main">
                  <a:graphicData uri="http://schemas.microsoft.com/office/word/2010/wordprocessingShape">
                    <wps:wsp>
                      <wps:cNvSpPr/>
                      <wps:spPr>
                        <a:xfrm>
                          <a:off x="0" y="0"/>
                          <a:ext cx="971550" cy="304800"/>
                        </a:xfrm>
                        <a:prstGeom prst="wedgeRectCallout">
                          <a:avLst>
                            <a:gd name="adj1" fmla="val -83921"/>
                            <a:gd name="adj2" fmla="val 138750"/>
                          </a:avLst>
                        </a:prstGeom>
                        <a:solidFill>
                          <a:srgbClr val="FFFFFF"/>
                        </a:solidFill>
                        <a:ln w="9525" cap="flat" cmpd="sng">
                          <a:solidFill>
                            <a:srgbClr val="FF0000"/>
                          </a:solidFill>
                          <a:prstDash val="solid"/>
                          <a:miter/>
                          <a:headEnd type="none" w="med" len="med"/>
                          <a:tailEnd type="none" w="med" len="med"/>
                        </a:ln>
                      </wps:spPr>
                      <wps:txbx>
                        <w:txbxContent>
                          <w:p>
                            <w:pPr>
                              <w:rPr>
                                <w:b/>
                              </w:rPr>
                            </w:pPr>
                            <w:r>
                              <w:rPr>
                                <w:rFonts w:hint="eastAsia"/>
                                <w:b/>
                              </w:rPr>
                              <w:t>项目所在地</w:t>
                            </w:r>
                          </w:p>
                        </w:txbxContent>
                      </wps:txbx>
                      <wps:bodyPr upright="1"/>
                    </wps:wsp>
                  </a:graphicData>
                </a:graphic>
              </wp:anchor>
            </w:drawing>
          </mc:Choice>
          <mc:Fallback>
            <w:pict>
              <v:shape id="_x0000_s1026" o:spid="_x0000_s1026" o:spt="61" type="#_x0000_t61" style="position:absolute;left:0pt;margin-left:241.5pt;margin-top:156pt;height:24pt;width:76.5pt;z-index:252781568;mso-width-relative:page;mso-height-relative:page;" fillcolor="#FFFFFF" filled="t" stroked="t" coordsize="21600,21600" o:gfxdata="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Gq+ez9YAAAAL&#10;AQAADwAAAAAAAAABACAAAAAiAAAAZHJzL2Rvd25yZXYueG1sUEsBAhQAFAAAAAgAh07iQHyZZI0e&#10;AgAAQQQAAA4AAAAAAAAAAQAgAAAAJQEAAGRycy9lMm9Eb2MueG1sUEsFBgAAAAAGAAYAWQEAALUF&#10;AAAAAA==&#10;" adj="-7327,40770">
                <v:fill on="t" focussize="0,0"/>
                <v:stroke color="#FF0000" joinstyle="miter"/>
                <v:imagedata o:title=""/>
                <o:lock v:ext="edit" aspectratio="f"/>
                <v:textbox>
                  <w:txbxContent>
                    <w:p>
                      <w:pPr>
                        <w:rPr>
                          <w:b/>
                        </w:rPr>
                      </w:pPr>
                      <w:r>
                        <w:rPr>
                          <w:rFonts w:hint="eastAsia"/>
                          <w:b/>
                        </w:rPr>
                        <w:t>项目所在地</w:t>
                      </w:r>
                    </w:p>
                  </w:txbxContent>
                </v:textbox>
              </v:shape>
            </w:pict>
          </mc:Fallback>
        </mc:AlternateContent>
      </w:r>
      <w:r>
        <w:rPr>
          <w:rFonts w:ascii="宋体" w:hAnsi="宋体" w:cs="宋体"/>
          <w:kern w:val="0"/>
          <w:sz w:val="24"/>
          <w:szCs w:val="24"/>
        </w:rPr>
        <mc:AlternateContent>
          <mc:Choice Requires="wps">
            <w:drawing>
              <wp:anchor distT="0" distB="0" distL="114300" distR="114300" simplePos="0" relativeHeight="252780544" behindDoc="0" locked="0" layoutInCell="1" allowOverlap="1">
                <wp:simplePos x="0" y="0"/>
                <wp:positionH relativeFrom="column">
                  <wp:posOffset>2038350</wp:posOffset>
                </wp:positionH>
                <wp:positionV relativeFrom="paragraph">
                  <wp:posOffset>5655945</wp:posOffset>
                </wp:positionV>
                <wp:extent cx="4295775" cy="40005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4295775" cy="400050"/>
                        </a:xfrm>
                        <a:prstGeom prst="rect">
                          <a:avLst/>
                        </a:prstGeom>
                        <a:noFill/>
                        <a:ln>
                          <a:noFill/>
                        </a:ln>
                      </wps:spPr>
                      <wps:txbx>
                        <w:txbxContent>
                          <w:p>
                            <w:pPr>
                              <w:jc w:val="center"/>
                              <w:rPr>
                                <w:rFonts w:ascii="Times New Roman" w:hAnsi="Times New Roman"/>
                                <w:b/>
                                <w:sz w:val="28"/>
                              </w:rPr>
                            </w:pPr>
                            <w:r>
                              <w:rPr>
                                <w:rFonts w:ascii="Times New Roman"/>
                                <w:b/>
                                <w:sz w:val="28"/>
                              </w:rPr>
                              <w:t>附图</w:t>
                            </w:r>
                            <w:r>
                              <w:rPr>
                                <w:rFonts w:hint="eastAsia" w:ascii="Times New Roman" w:hAnsi="Times New Roman"/>
                                <w:b/>
                                <w:sz w:val="28"/>
                                <w:lang w:val="en-US" w:eastAsia="zh-CN"/>
                              </w:rPr>
                              <w:t>5</w:t>
                            </w:r>
                            <w:r>
                              <w:rPr>
                                <w:rFonts w:hint="eastAsia" w:ascii="Times New Roman"/>
                                <w:b/>
                                <w:sz w:val="28"/>
                              </w:rPr>
                              <w:t xml:space="preserve"> 环境功能区划</w:t>
                            </w:r>
                            <w:r>
                              <w:rPr>
                                <w:rFonts w:ascii="Times New Roman"/>
                                <w:b/>
                                <w:sz w:val="28"/>
                              </w:rPr>
                              <w:t>图</w:t>
                            </w:r>
                          </w:p>
                        </w:txbxContent>
                      </wps:txbx>
                      <wps:bodyPr upright="1"/>
                    </wps:wsp>
                  </a:graphicData>
                </a:graphic>
              </wp:anchor>
            </w:drawing>
          </mc:Choice>
          <mc:Fallback>
            <w:pict>
              <v:shape id="_x0000_s1026" o:spid="_x0000_s1026" o:spt="202" type="#_x0000_t202" style="position:absolute;left:0pt;margin-left:160.5pt;margin-top:445.35pt;height:31.5pt;width:338.25pt;z-index:252780544;mso-width-relative:page;mso-height-relative:page;" filled="f" stroked="f" coordsize="21600,21600" o:gfxdata="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D2dIjjZAAAACwEAAA8AAAAAAAAAAQAgAAAAIgAAAGRycy9k&#10;b3ducmV2LnhtbFBLAQIUABQAAAAIAIdO4kCLlq4ZjwEAAAIDAAAOAAAAAAAAAAEAIAAAACgBAABk&#10;cnMvZTJvRG9jLnhtbFBLBQYAAAAABgAGAFkBAAApBQAAAAA=&#10;">
                <v:fill on="f" focussize="0,0"/>
                <v:stroke on="f"/>
                <v:imagedata o:title=""/>
                <o:lock v:ext="edit" aspectratio="f"/>
                <v:textbox>
                  <w:txbxContent>
                    <w:p>
                      <w:pPr>
                        <w:jc w:val="center"/>
                        <w:rPr>
                          <w:rFonts w:ascii="Times New Roman" w:hAnsi="Times New Roman"/>
                          <w:b/>
                          <w:sz w:val="28"/>
                        </w:rPr>
                      </w:pPr>
                      <w:r>
                        <w:rPr>
                          <w:rFonts w:ascii="Times New Roman"/>
                          <w:b/>
                          <w:sz w:val="28"/>
                        </w:rPr>
                        <w:t>附图</w:t>
                      </w:r>
                      <w:r>
                        <w:rPr>
                          <w:rFonts w:hint="eastAsia" w:ascii="Times New Roman" w:hAnsi="Times New Roman"/>
                          <w:b/>
                          <w:sz w:val="28"/>
                          <w:lang w:val="en-US" w:eastAsia="zh-CN"/>
                        </w:rPr>
                        <w:t>5</w:t>
                      </w:r>
                      <w:r>
                        <w:rPr>
                          <w:rFonts w:hint="eastAsia" w:ascii="Times New Roman"/>
                          <w:b/>
                          <w:sz w:val="28"/>
                        </w:rPr>
                        <w:t xml:space="preserve"> 环境功能区划</w:t>
                      </w:r>
                      <w:r>
                        <w:rPr>
                          <w:rFonts w:ascii="Times New Roman"/>
                          <w:b/>
                          <w:sz w:val="28"/>
                        </w:rPr>
                        <w:t>图</w:t>
                      </w:r>
                    </w:p>
                  </w:txbxContent>
                </v:textbox>
              </v:shape>
            </w:pict>
          </mc:Fallback>
        </mc:AlternateContent>
      </w:r>
      <w:r>
        <w:drawing>
          <wp:inline distT="0" distB="0" distL="114300" distR="114300">
            <wp:extent cx="8107045" cy="5727700"/>
            <wp:effectExtent l="0" t="0" r="8255" b="635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18"/>
                    <a:stretch>
                      <a:fillRect/>
                    </a:stretch>
                  </pic:blipFill>
                  <pic:spPr>
                    <a:xfrm>
                      <a:off x="0" y="0"/>
                      <a:ext cx="8107045" cy="5727700"/>
                    </a:xfrm>
                    <a:prstGeom prst="rect">
                      <a:avLst/>
                    </a:prstGeom>
                    <a:noFill/>
                    <a:ln>
                      <a:noFill/>
                    </a:ln>
                  </pic:spPr>
                </pic:pic>
              </a:graphicData>
            </a:graphic>
          </wp:inline>
        </w:drawing>
      </w:r>
    </w:p>
    <w:p>
      <w:pPr>
        <w:shd w:val="clear"/>
        <w:rPr>
          <w:rFonts w:ascii="Times New Roman" w:hAnsi="Times New Roman"/>
          <w:color w:val="auto"/>
          <w:highlight w:val="none"/>
        </w:rPr>
        <w:sectPr>
          <w:pgSz w:w="16838" w:h="11906" w:orient="landscape"/>
          <w:pgMar w:top="1440" w:right="1797" w:bottom="1440" w:left="1797" w:header="851" w:footer="992" w:gutter="0"/>
          <w:pgNumType w:fmt="decimal"/>
          <w:cols w:space="0" w:num="1"/>
          <w:rtlGutter w:val="0"/>
          <w:docGrid w:type="lines" w:linePitch="331" w:charSpace="0"/>
        </w:sectPr>
      </w:pPr>
    </w:p>
    <w:p>
      <w:pPr>
        <w:shd w:val="clear"/>
        <w:jc w:val="left"/>
        <w:rPr>
          <w:rFonts w:hint="eastAsia" w:ascii="Times New Roman" w:hAnsi="Times New Roman"/>
          <w:b/>
          <w:bCs/>
          <w:color w:val="auto"/>
          <w:highlight w:val="none"/>
          <w:lang w:val="en-US" w:eastAsia="zh-CN"/>
        </w:rPr>
      </w:pPr>
      <w:r>
        <w:rPr>
          <w:rFonts w:hint="eastAsia" w:ascii="Times New Roman" w:hAnsi="Times New Roman"/>
          <w:b/>
          <w:color w:val="auto"/>
          <w:highlight w:val="none"/>
          <w:lang w:val="en-US" w:eastAsia="zh-CN"/>
        </w:rPr>
        <w:t xml:space="preserve">附件1 </w:t>
      </w:r>
      <w:r>
        <w:rPr>
          <w:rFonts w:hint="eastAsia" w:ascii="Times New Roman" w:hAnsi="Times New Roman"/>
          <w:b/>
          <w:bCs/>
          <w:color w:val="auto"/>
          <w:highlight w:val="none"/>
          <w:lang w:val="en-US" w:eastAsia="zh-CN"/>
        </w:rPr>
        <w:t>备案通知书</w:t>
      </w:r>
    </w:p>
    <w:p>
      <w:pPr>
        <w:shd w:val="clear"/>
        <w:jc w:val="left"/>
        <w:rPr>
          <w:rFonts w:hint="eastAsia" w:ascii="Times New Roman" w:hAnsi="Times New Roman"/>
          <w:b/>
          <w:color w:val="auto"/>
          <w:highlight w:val="none"/>
          <w:lang w:val="en-US" w:eastAsia="zh-CN"/>
        </w:rPr>
      </w:pPr>
      <w:r>
        <w:rPr>
          <w:rFonts w:hint="eastAsia" w:ascii="Times New Roman" w:hAnsi="Times New Roman"/>
          <w:b/>
          <w:color w:val="auto"/>
          <w:highlight w:val="none"/>
          <w:lang w:val="en-US" w:eastAsia="zh-CN"/>
        </w:rPr>
        <w:drawing>
          <wp:inline distT="0" distB="0" distL="114300" distR="114300">
            <wp:extent cx="5918835" cy="7941945"/>
            <wp:effectExtent l="0" t="0" r="5715" b="1905"/>
            <wp:docPr id="24" name="图片 24" descr="浙江省工业企业“零土地”技术改造项目备案通知书 (53)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浙江省工业企业“零土地”技术改造项目备案通知书 (53)_页面_1"/>
                    <pic:cNvPicPr>
                      <a:picLocks noChangeAspect="1"/>
                    </pic:cNvPicPr>
                  </pic:nvPicPr>
                  <pic:blipFill>
                    <a:blip r:embed="rId19"/>
                    <a:stretch>
                      <a:fillRect/>
                    </a:stretch>
                  </pic:blipFill>
                  <pic:spPr>
                    <a:xfrm>
                      <a:off x="0" y="0"/>
                      <a:ext cx="5918835" cy="7941945"/>
                    </a:xfrm>
                    <a:prstGeom prst="rect">
                      <a:avLst/>
                    </a:prstGeom>
                  </pic:spPr>
                </pic:pic>
              </a:graphicData>
            </a:graphic>
          </wp:inline>
        </w:drawing>
      </w:r>
    </w:p>
    <w:p>
      <w:pPr>
        <w:pStyle w:val="2"/>
        <w:shd w:val="clear"/>
        <w:ind w:left="0" w:leftChars="0" w:firstLine="0" w:firstLineChars="0"/>
        <w:rPr>
          <w:rFonts w:hint="eastAsia" w:ascii="Times New Roman" w:hAnsi="Times New Roman" w:eastAsia="宋体"/>
          <w:b/>
          <w:color w:val="auto"/>
          <w:highlight w:val="none"/>
          <w:lang w:eastAsia="zh-CN"/>
        </w:rPr>
      </w:pPr>
      <w:r>
        <w:rPr>
          <w:rFonts w:hint="eastAsia" w:ascii="Times New Roman" w:hAnsi="Times New Roman" w:eastAsia="宋体"/>
          <w:b/>
          <w:color w:val="auto"/>
          <w:highlight w:val="none"/>
          <w:lang w:eastAsia="zh-CN"/>
        </w:rPr>
        <w:drawing>
          <wp:inline distT="0" distB="0" distL="114300" distR="114300">
            <wp:extent cx="5918835" cy="8373745"/>
            <wp:effectExtent l="0" t="0" r="5715" b="8255"/>
            <wp:docPr id="25" name="图片 25" descr="浙江省工业企业“零土地”技术改造项目备案通知书 (53)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浙江省工业企业“零土地”技术改造项目备案通知书 (53)_页面_2"/>
                    <pic:cNvPicPr>
                      <a:picLocks noChangeAspect="1"/>
                    </pic:cNvPicPr>
                  </pic:nvPicPr>
                  <pic:blipFill>
                    <a:blip r:embed="rId20"/>
                    <a:stretch>
                      <a:fillRect/>
                    </a:stretch>
                  </pic:blipFill>
                  <pic:spPr>
                    <a:xfrm>
                      <a:off x="0" y="0"/>
                      <a:ext cx="5918835" cy="8373745"/>
                    </a:xfrm>
                    <a:prstGeom prst="rect">
                      <a:avLst/>
                    </a:prstGeom>
                  </pic:spPr>
                </pic:pic>
              </a:graphicData>
            </a:graphic>
          </wp:inline>
        </w:drawing>
      </w:r>
    </w:p>
    <w:p>
      <w:pPr>
        <w:pStyle w:val="2"/>
        <w:shd w:val="clear"/>
        <w:rPr>
          <w:rFonts w:hint="eastAsia"/>
          <w:color w:val="auto"/>
          <w:highlight w:val="none"/>
          <w:lang w:eastAsia="zh-CN"/>
        </w:rPr>
        <w:sectPr>
          <w:pgSz w:w="11906" w:h="16838"/>
          <w:pgMar w:top="1797" w:right="1440" w:bottom="1797" w:left="1134" w:header="851" w:footer="992" w:gutter="0"/>
          <w:pgNumType w:fmt="decimal"/>
          <w:cols w:space="0" w:num="1"/>
          <w:rtlGutter w:val="0"/>
          <w:docGrid w:type="lines" w:linePitch="334" w:charSpace="0"/>
        </w:sectPr>
      </w:pPr>
    </w:p>
    <w:p>
      <w:pPr>
        <w:shd w:val="clear"/>
        <w:jc w:val="left"/>
        <w:rPr>
          <w:rFonts w:hint="eastAsia" w:ascii="Times New Roman" w:hAnsi="Times New Roman"/>
          <w:b/>
          <w:bCs/>
          <w:color w:val="auto"/>
          <w:highlight w:val="none"/>
          <w:lang w:val="en-US" w:eastAsia="zh-CN"/>
        </w:rPr>
      </w:pPr>
      <w:r>
        <w:rPr>
          <w:rFonts w:hint="eastAsia" w:ascii="Times New Roman" w:hAnsi="Times New Roman"/>
          <w:b/>
          <w:bCs/>
          <w:color w:val="auto"/>
          <w:highlight w:val="none"/>
          <w:lang w:val="en-US" w:eastAsia="zh-CN"/>
        </w:rPr>
        <w:t>附件2 现有项目环评批复及验收文件</w:t>
      </w:r>
    </w:p>
    <w:p>
      <w:pPr>
        <w:pStyle w:val="3"/>
        <w:ind w:left="0" w:leftChars="0" w:firstLine="0" w:firstLineChars="0"/>
        <w:rPr>
          <w:rFonts w:hint="eastAsia" w:hAnsi="宋体"/>
          <w:b/>
          <w:sz w:val="24"/>
          <w:szCs w:val="24"/>
          <w:u w:val="none"/>
          <w:lang w:eastAsia="zh-CN"/>
        </w:rPr>
      </w:pPr>
      <w:bookmarkStart w:id="1" w:name="_GoBack"/>
      <w:bookmarkEnd w:id="1"/>
      <w:r>
        <w:rPr>
          <w:rFonts w:hint="eastAsia" w:hAnsi="宋体"/>
          <w:b/>
          <w:sz w:val="24"/>
          <w:szCs w:val="24"/>
          <w:u w:val="none"/>
          <w:lang w:eastAsia="zh-CN"/>
        </w:rPr>
        <w:drawing>
          <wp:inline distT="0" distB="0" distL="114300" distR="114300">
            <wp:extent cx="5724525" cy="8095615"/>
            <wp:effectExtent l="0" t="0" r="9525" b="635"/>
            <wp:docPr id="39" name="图片 39" descr="嘉环海建〔2020〕169号++明士达审查意见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嘉环海建〔2020〕169号++明士达审查意见_页面_1"/>
                    <pic:cNvPicPr>
                      <a:picLocks noChangeAspect="1"/>
                    </pic:cNvPicPr>
                  </pic:nvPicPr>
                  <pic:blipFill>
                    <a:blip r:embed="rId21"/>
                    <a:stretch>
                      <a:fillRect/>
                    </a:stretch>
                  </pic:blipFill>
                  <pic:spPr>
                    <a:xfrm>
                      <a:off x="0" y="0"/>
                      <a:ext cx="5724525" cy="8095615"/>
                    </a:xfrm>
                    <a:prstGeom prst="rect">
                      <a:avLst/>
                    </a:prstGeom>
                  </pic:spPr>
                </pic:pic>
              </a:graphicData>
            </a:graphic>
          </wp:inline>
        </w:drawing>
      </w:r>
    </w:p>
    <w:p>
      <w:pPr>
        <w:pStyle w:val="3"/>
        <w:ind w:left="0" w:leftChars="0" w:firstLine="0" w:firstLineChars="0"/>
        <w:rPr>
          <w:rFonts w:hint="eastAsia" w:hAnsi="宋体"/>
          <w:b/>
          <w:sz w:val="24"/>
          <w:szCs w:val="24"/>
          <w:u w:val="none"/>
          <w:lang w:val="en-US" w:eastAsia="zh-CN"/>
        </w:rPr>
        <w:sectPr>
          <w:pgSz w:w="11906" w:h="16838"/>
          <w:pgMar w:top="1570" w:right="1440" w:bottom="1570" w:left="1440" w:header="851" w:footer="992" w:gutter="0"/>
          <w:pgNumType w:fmt="decimal"/>
          <w:cols w:space="720" w:num="1"/>
          <w:docGrid w:type="lines" w:linePitch="312" w:charSpace="0"/>
        </w:sectPr>
      </w:pPr>
      <w:r>
        <w:rPr>
          <w:rFonts w:hint="eastAsia" w:hAnsi="宋体"/>
          <w:b/>
          <w:sz w:val="24"/>
          <w:szCs w:val="24"/>
          <w:u w:val="none"/>
          <w:lang w:val="en-US" w:eastAsia="zh-CN"/>
        </w:rPr>
        <w:drawing>
          <wp:inline distT="0" distB="0" distL="114300" distR="114300">
            <wp:extent cx="5724525" cy="8095615"/>
            <wp:effectExtent l="0" t="0" r="9525" b="635"/>
            <wp:docPr id="40" name="图片 40" descr="嘉环海建〔2020〕169号++明士达审查意见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嘉环海建〔2020〕169号++明士达审查意见_页面_2"/>
                    <pic:cNvPicPr>
                      <a:picLocks noChangeAspect="1"/>
                    </pic:cNvPicPr>
                  </pic:nvPicPr>
                  <pic:blipFill>
                    <a:blip r:embed="rId22"/>
                    <a:stretch>
                      <a:fillRect/>
                    </a:stretch>
                  </pic:blipFill>
                  <pic:spPr>
                    <a:xfrm>
                      <a:off x="0" y="0"/>
                      <a:ext cx="5724525" cy="8095615"/>
                    </a:xfrm>
                    <a:prstGeom prst="rect">
                      <a:avLst/>
                    </a:prstGeom>
                  </pic:spPr>
                </pic:pic>
              </a:graphicData>
            </a:graphic>
          </wp:inline>
        </w:drawing>
      </w:r>
      <w:r>
        <w:rPr>
          <w:rFonts w:hint="eastAsia" w:hAnsi="宋体"/>
          <w:b/>
          <w:sz w:val="24"/>
          <w:szCs w:val="24"/>
          <w:u w:val="none"/>
          <w:lang w:val="en-US" w:eastAsia="zh-CN"/>
        </w:rPr>
        <w:drawing>
          <wp:inline distT="0" distB="0" distL="114300" distR="114300">
            <wp:extent cx="5724525" cy="8095615"/>
            <wp:effectExtent l="0" t="0" r="9525" b="635"/>
            <wp:docPr id="41" name="图片 41" descr="嘉环海建〔2020〕169号++明士达审查意见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嘉环海建〔2020〕169号++明士达审查意见_页面_3"/>
                    <pic:cNvPicPr>
                      <a:picLocks noChangeAspect="1"/>
                    </pic:cNvPicPr>
                  </pic:nvPicPr>
                  <pic:blipFill>
                    <a:blip r:embed="rId23"/>
                    <a:stretch>
                      <a:fillRect/>
                    </a:stretch>
                  </pic:blipFill>
                  <pic:spPr>
                    <a:xfrm>
                      <a:off x="0" y="0"/>
                      <a:ext cx="5724525" cy="8095615"/>
                    </a:xfrm>
                    <a:prstGeom prst="rect">
                      <a:avLst/>
                    </a:prstGeom>
                  </pic:spPr>
                </pic:pic>
              </a:graphicData>
            </a:graphic>
          </wp:inline>
        </w:drawing>
      </w:r>
      <w:r>
        <w:rPr>
          <w:rFonts w:hint="eastAsia" w:hAnsi="宋体"/>
          <w:b/>
          <w:sz w:val="24"/>
          <w:szCs w:val="24"/>
          <w:u w:val="none"/>
          <w:lang w:val="en-US" w:eastAsia="zh-CN"/>
        </w:rPr>
        <w:drawing>
          <wp:inline distT="0" distB="0" distL="114300" distR="114300">
            <wp:extent cx="5724525" cy="8095615"/>
            <wp:effectExtent l="0" t="0" r="9525" b="635"/>
            <wp:docPr id="42" name="图片 42" descr="嘉环海建〔2020〕169号++明士达审查意见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嘉环海建〔2020〕169号++明士达审查意见_页面_4"/>
                    <pic:cNvPicPr>
                      <a:picLocks noChangeAspect="1"/>
                    </pic:cNvPicPr>
                  </pic:nvPicPr>
                  <pic:blipFill>
                    <a:blip r:embed="rId24"/>
                    <a:stretch>
                      <a:fillRect/>
                    </a:stretch>
                  </pic:blipFill>
                  <pic:spPr>
                    <a:xfrm>
                      <a:off x="0" y="0"/>
                      <a:ext cx="5724525" cy="8095615"/>
                    </a:xfrm>
                    <a:prstGeom prst="rect">
                      <a:avLst/>
                    </a:prstGeom>
                  </pic:spPr>
                </pic:pic>
              </a:graphicData>
            </a:graphic>
          </wp:inline>
        </w:drawing>
      </w:r>
      <w:r>
        <w:rPr>
          <w:rFonts w:hint="eastAsia" w:hAnsi="宋体"/>
          <w:b/>
          <w:sz w:val="24"/>
          <w:szCs w:val="24"/>
          <w:u w:val="none"/>
          <w:lang w:val="en-US" w:eastAsia="zh-CN"/>
        </w:rPr>
        <w:drawing>
          <wp:inline distT="0" distB="0" distL="114300" distR="114300">
            <wp:extent cx="5724525" cy="8095615"/>
            <wp:effectExtent l="0" t="0" r="9525" b="635"/>
            <wp:docPr id="43" name="图片 43" descr="嘉环海建〔2020〕169号++明士达审查意见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嘉环海建〔2020〕169号++明士达审查意见_页面_5"/>
                    <pic:cNvPicPr>
                      <a:picLocks noChangeAspect="1"/>
                    </pic:cNvPicPr>
                  </pic:nvPicPr>
                  <pic:blipFill>
                    <a:blip r:embed="rId25"/>
                    <a:stretch>
                      <a:fillRect/>
                    </a:stretch>
                  </pic:blipFill>
                  <pic:spPr>
                    <a:xfrm>
                      <a:off x="0" y="0"/>
                      <a:ext cx="5724525" cy="8095615"/>
                    </a:xfrm>
                    <a:prstGeom prst="rect">
                      <a:avLst/>
                    </a:prstGeom>
                  </pic:spPr>
                </pic:pic>
              </a:graphicData>
            </a:graphic>
          </wp:inline>
        </w:drawing>
      </w:r>
    </w:p>
    <w:p>
      <w:pPr>
        <w:shd w:val="clear"/>
        <w:jc w:val="left"/>
        <w:rPr>
          <w:rFonts w:hint="eastAsia" w:ascii="Times New Roman" w:hAnsi="Times New Roman"/>
          <w:b/>
          <w:bCs/>
          <w:color w:val="auto"/>
          <w:highlight w:val="none"/>
          <w:lang w:val="en-US" w:eastAsia="zh-CN"/>
        </w:rPr>
      </w:pPr>
      <w:r>
        <w:rPr>
          <w:rFonts w:hint="eastAsia" w:ascii="Times New Roman" w:hAnsi="Times New Roman"/>
          <w:b/>
          <w:bCs/>
          <w:color w:val="auto"/>
          <w:highlight w:val="none"/>
          <w:lang w:val="en-US" w:eastAsia="zh-CN"/>
        </w:rPr>
        <w:t>附件3 企业法人承诺书</w:t>
      </w:r>
    </w:p>
    <w:p>
      <w:pPr>
        <w:keepNext w:val="0"/>
        <w:keepLines w:val="0"/>
        <w:pageBreakBefore w:val="0"/>
        <w:widowControl w:val="0"/>
        <w:shd w:val="clear"/>
        <w:kinsoku/>
        <w:wordWrap/>
        <w:overflowPunct/>
        <w:topLinePunct w:val="0"/>
        <w:autoSpaceDE w:val="0"/>
        <w:autoSpaceDN w:val="0"/>
        <w:bidi w:val="0"/>
        <w:adjustRightInd w:val="0"/>
        <w:snapToGrid/>
        <w:jc w:val="center"/>
        <w:textAlignment w:val="auto"/>
        <w:rPr>
          <w:rFonts w:hint="eastAsia" w:ascii="文星简小标宋" w:eastAsia="文星简小标宋"/>
          <w:sz w:val="28"/>
          <w:szCs w:val="21"/>
          <w:highlight w:val="none"/>
        </w:rPr>
      </w:pPr>
      <w:r>
        <w:rPr>
          <w:rFonts w:hint="eastAsia" w:ascii="文星简小标宋" w:eastAsia="文星简小标宋"/>
          <w:sz w:val="28"/>
          <w:szCs w:val="21"/>
          <w:highlight w:val="none"/>
        </w:rPr>
        <w:t>海宁市“区域环评+环境标准”改革建设项目</w:t>
      </w:r>
    </w:p>
    <w:p>
      <w:pPr>
        <w:keepNext w:val="0"/>
        <w:keepLines w:val="0"/>
        <w:pageBreakBefore w:val="0"/>
        <w:widowControl w:val="0"/>
        <w:shd w:val="clear"/>
        <w:kinsoku/>
        <w:wordWrap/>
        <w:overflowPunct/>
        <w:topLinePunct w:val="0"/>
        <w:autoSpaceDE w:val="0"/>
        <w:autoSpaceDN w:val="0"/>
        <w:bidi w:val="0"/>
        <w:adjustRightInd w:val="0"/>
        <w:snapToGrid/>
        <w:jc w:val="center"/>
        <w:textAlignment w:val="auto"/>
        <w:rPr>
          <w:rFonts w:hint="eastAsia" w:ascii="文星简小标宋" w:eastAsia="文星简小标宋"/>
          <w:sz w:val="32"/>
          <w:szCs w:val="21"/>
          <w:highlight w:val="none"/>
        </w:rPr>
      </w:pPr>
      <w:r>
        <w:rPr>
          <w:rFonts w:hint="eastAsia" w:ascii="文星简小标宋" w:eastAsia="文星简小标宋"/>
          <w:sz w:val="28"/>
          <w:szCs w:val="21"/>
          <w:highlight w:val="none"/>
        </w:rPr>
        <w:t>环境影响登记表备案企业法人承诺书</w:t>
      </w:r>
    </w:p>
    <w:p>
      <w:pPr>
        <w:keepNext w:val="0"/>
        <w:keepLines w:val="0"/>
        <w:pageBreakBefore w:val="0"/>
        <w:widowControl w:val="0"/>
        <w:shd w:val="clear"/>
        <w:kinsoku/>
        <w:wordWrap/>
        <w:overflowPunct/>
        <w:topLinePunct w:val="0"/>
        <w:autoSpaceDE w:val="0"/>
        <w:autoSpaceDN w:val="0"/>
        <w:bidi w:val="0"/>
        <w:adjustRightInd w:val="0"/>
        <w:snapToGrid/>
        <w:spacing w:line="240" w:lineRule="auto"/>
        <w:textAlignment w:val="auto"/>
        <w:rPr>
          <w:rFonts w:hint="eastAsia" w:ascii="仿宋_GB2312" w:hAnsi="宋体" w:eastAsia="仿宋_GB2312"/>
          <w:b/>
          <w:sz w:val="28"/>
          <w:highlight w:val="none"/>
        </w:rPr>
      </w:pPr>
      <w:r>
        <w:rPr>
          <w:rFonts w:hint="eastAsia" w:ascii="仿宋_GB2312" w:hAnsi="宋体" w:eastAsia="仿宋_GB2312"/>
          <w:b/>
          <w:sz w:val="28"/>
          <w:highlight w:val="none"/>
        </w:rPr>
        <w:t>嘉兴市生态环境局：</w:t>
      </w:r>
    </w:p>
    <w:p>
      <w:pPr>
        <w:keepNext w:val="0"/>
        <w:keepLines w:val="0"/>
        <w:pageBreakBefore w:val="0"/>
        <w:widowControl w:val="0"/>
        <w:shd w:val="clear"/>
        <w:kinsoku/>
        <w:wordWrap/>
        <w:overflowPunct/>
        <w:topLinePunct w:val="0"/>
        <w:autoSpaceDE w:val="0"/>
        <w:autoSpaceDN w:val="0"/>
        <w:bidi w:val="0"/>
        <w:adjustRightInd w:val="0"/>
        <w:snapToGrid/>
        <w:spacing w:line="240" w:lineRule="auto"/>
        <w:ind w:left="2" w:leftChars="1" w:firstLine="562" w:firstLineChars="201"/>
        <w:textAlignment w:val="auto"/>
        <w:rPr>
          <w:rFonts w:hint="eastAsia" w:ascii="仿宋_GB2312" w:hAnsi="宋体" w:eastAsia="仿宋_GB2312"/>
          <w:sz w:val="28"/>
          <w:highlight w:val="none"/>
        </w:rPr>
      </w:pPr>
      <w:r>
        <w:rPr>
          <w:rFonts w:hint="eastAsia" w:ascii="仿宋_GB2312" w:hAnsi="宋体" w:eastAsia="仿宋_GB2312"/>
          <w:sz w:val="28"/>
          <w:highlight w:val="none"/>
        </w:rPr>
        <w:t>我单位（名称）</w:t>
      </w:r>
      <w:r>
        <w:rPr>
          <w:rFonts w:hint="eastAsia" w:ascii="仿宋_GB2312" w:hAnsi="宋体" w:eastAsia="仿宋_GB2312"/>
          <w:sz w:val="28"/>
          <w:highlight w:val="none"/>
          <w:u w:val="single"/>
          <w:lang w:val="en-US" w:eastAsia="zh-CN"/>
        </w:rPr>
        <w:t>浙江明士达股份有限公司</w:t>
      </w:r>
      <w:r>
        <w:rPr>
          <w:rFonts w:hint="eastAsia" w:ascii="仿宋_GB2312" w:hAnsi="宋体" w:eastAsia="仿宋_GB2312"/>
          <w:sz w:val="28"/>
          <w:highlight w:val="none"/>
        </w:rPr>
        <w:t>于</w:t>
      </w:r>
      <w:r>
        <w:rPr>
          <w:rFonts w:hint="eastAsia" w:ascii="仿宋_GB2312" w:hAnsi="宋体" w:eastAsia="仿宋_GB2312"/>
          <w:sz w:val="28"/>
          <w:highlight w:val="none"/>
          <w:u w:val="single"/>
          <w:lang w:val="en-US" w:eastAsia="zh-CN"/>
        </w:rPr>
        <w:t>2020</w:t>
      </w:r>
      <w:r>
        <w:rPr>
          <w:rFonts w:hint="eastAsia" w:ascii="仿宋_GB2312" w:hAnsi="宋体" w:eastAsia="仿宋_GB2312"/>
          <w:sz w:val="28"/>
          <w:highlight w:val="none"/>
        </w:rPr>
        <w:t>年</w:t>
      </w:r>
      <w:r>
        <w:rPr>
          <w:rFonts w:hint="eastAsia" w:ascii="仿宋_GB2312" w:hAnsi="宋体" w:eastAsia="仿宋_GB2312"/>
          <w:sz w:val="28"/>
          <w:highlight w:val="none"/>
          <w:u w:val="single"/>
          <w:lang w:val="en-US" w:eastAsia="zh-CN"/>
        </w:rPr>
        <w:t>9</w:t>
      </w:r>
      <w:r>
        <w:rPr>
          <w:rFonts w:hint="eastAsia" w:ascii="仿宋_GB2312" w:hAnsi="宋体" w:eastAsia="仿宋_GB2312"/>
          <w:sz w:val="28"/>
          <w:highlight w:val="none"/>
        </w:rPr>
        <w:t>月</w:t>
      </w:r>
      <w:r>
        <w:rPr>
          <w:rFonts w:hint="eastAsia" w:ascii="仿宋_GB2312" w:hAnsi="宋体" w:eastAsia="仿宋_GB2312"/>
          <w:sz w:val="28"/>
          <w:highlight w:val="none"/>
          <w:u w:val="single"/>
          <w:lang w:val="en-US" w:eastAsia="zh-CN"/>
        </w:rPr>
        <w:t>2</w:t>
      </w:r>
      <w:r>
        <w:rPr>
          <w:rFonts w:hint="eastAsia" w:ascii="仿宋_GB2312" w:hAnsi="宋体" w:eastAsia="仿宋_GB2312"/>
          <w:sz w:val="28"/>
          <w:highlight w:val="none"/>
        </w:rPr>
        <w:t>日申报的</w:t>
      </w:r>
      <w:r>
        <w:rPr>
          <w:rFonts w:hint="eastAsia" w:ascii="仿宋_GB2312" w:hAnsi="宋体" w:eastAsia="仿宋_GB2312"/>
          <w:sz w:val="28"/>
          <w:highlight w:val="none"/>
          <w:u w:val="single"/>
          <w:lang w:val="en-US" w:eastAsia="zh-CN"/>
        </w:rPr>
        <w:t>浙江明士达股份有限公司环保柔性材料及产品研发中心建设项目</w:t>
      </w:r>
      <w:r>
        <w:rPr>
          <w:rFonts w:hint="eastAsia" w:ascii="仿宋_GB2312" w:hAnsi="宋体" w:eastAsia="仿宋_GB2312"/>
          <w:sz w:val="28"/>
          <w:highlight w:val="none"/>
        </w:rPr>
        <w:t>，现已如实填报建设项目环境影响登记表，特申请备案，并就相关事项作如下承诺：</w:t>
      </w:r>
    </w:p>
    <w:p>
      <w:pPr>
        <w:keepNext w:val="0"/>
        <w:keepLines w:val="0"/>
        <w:pageBreakBefore w:val="0"/>
        <w:widowControl w:val="0"/>
        <w:shd w:val="clear"/>
        <w:kinsoku/>
        <w:wordWrap/>
        <w:overflowPunct/>
        <w:topLinePunct w:val="0"/>
        <w:autoSpaceDE w:val="0"/>
        <w:autoSpaceDN w:val="0"/>
        <w:bidi w:val="0"/>
        <w:adjustRightInd w:val="0"/>
        <w:snapToGrid/>
        <w:spacing w:line="240" w:lineRule="auto"/>
        <w:ind w:firstLine="560" w:firstLineChars="200"/>
        <w:textAlignment w:val="auto"/>
        <w:rPr>
          <w:rFonts w:hint="eastAsia" w:ascii="仿宋_GB2312" w:hAnsi="宋体" w:eastAsia="仿宋_GB2312"/>
          <w:sz w:val="28"/>
          <w:highlight w:val="none"/>
        </w:rPr>
      </w:pPr>
      <w:r>
        <w:rPr>
          <w:rFonts w:hint="eastAsia" w:ascii="仿宋_GB2312" w:hAnsi="宋体" w:eastAsia="仿宋_GB2312"/>
          <w:sz w:val="28"/>
          <w:highlight w:val="none"/>
        </w:rPr>
        <w:t>1.建设项目不在</w:t>
      </w:r>
      <w:r>
        <w:rPr>
          <w:rFonts w:hint="eastAsia" w:ascii="仿宋_GB2312" w:hAnsi="宋体" w:eastAsia="仿宋_GB2312"/>
          <w:sz w:val="28"/>
          <w:highlight w:val="none"/>
          <w:u w:val="single"/>
        </w:rPr>
        <w:t>浙江海宁经编产业园区</w:t>
      </w:r>
      <w:r>
        <w:rPr>
          <w:rFonts w:hint="eastAsia" w:ascii="仿宋_GB2312" w:hAnsi="宋体" w:eastAsia="仿宋_GB2312"/>
          <w:sz w:val="28"/>
          <w:highlight w:val="none"/>
        </w:rPr>
        <w:t>“区域环评+环境标准”改革环评审批负面清单内。</w:t>
      </w:r>
    </w:p>
    <w:p>
      <w:pPr>
        <w:keepNext w:val="0"/>
        <w:keepLines w:val="0"/>
        <w:pageBreakBefore w:val="0"/>
        <w:widowControl w:val="0"/>
        <w:shd w:val="clear"/>
        <w:kinsoku/>
        <w:wordWrap/>
        <w:overflowPunct/>
        <w:topLinePunct w:val="0"/>
        <w:autoSpaceDE w:val="0"/>
        <w:autoSpaceDN w:val="0"/>
        <w:bidi w:val="0"/>
        <w:adjustRightInd w:val="0"/>
        <w:snapToGrid/>
        <w:spacing w:line="240" w:lineRule="auto"/>
        <w:ind w:firstLine="560" w:firstLineChars="200"/>
        <w:textAlignment w:val="auto"/>
        <w:rPr>
          <w:rFonts w:hint="eastAsia" w:ascii="仿宋_GB2312" w:hAnsi="宋体" w:eastAsia="仿宋_GB2312"/>
          <w:sz w:val="28"/>
          <w:highlight w:val="none"/>
        </w:rPr>
      </w:pPr>
      <w:r>
        <w:rPr>
          <w:rFonts w:hint="eastAsia" w:ascii="仿宋_GB2312" w:hAnsi="宋体" w:eastAsia="仿宋_GB2312"/>
          <w:sz w:val="28"/>
          <w:highlight w:val="none"/>
        </w:rPr>
        <w:t>2.建设项目符合《海宁市环境功能区划》、区域规划环评和准入环境标准要求，符合国家、省、市和区域产业政策及定位要求。</w:t>
      </w:r>
    </w:p>
    <w:p>
      <w:pPr>
        <w:keepNext w:val="0"/>
        <w:keepLines w:val="0"/>
        <w:pageBreakBefore w:val="0"/>
        <w:widowControl w:val="0"/>
        <w:shd w:val="clear"/>
        <w:kinsoku/>
        <w:wordWrap/>
        <w:overflowPunct/>
        <w:topLinePunct w:val="0"/>
        <w:autoSpaceDE w:val="0"/>
        <w:autoSpaceDN w:val="0"/>
        <w:bidi w:val="0"/>
        <w:adjustRightInd w:val="0"/>
        <w:snapToGrid/>
        <w:spacing w:line="240" w:lineRule="auto"/>
        <w:ind w:firstLine="560" w:firstLineChars="200"/>
        <w:textAlignment w:val="auto"/>
        <w:rPr>
          <w:rFonts w:hint="eastAsia" w:ascii="仿宋_GB2312" w:eastAsia="仿宋_GB2312"/>
          <w:sz w:val="28"/>
          <w:highlight w:val="none"/>
        </w:rPr>
      </w:pPr>
      <w:r>
        <w:rPr>
          <w:rFonts w:hint="eastAsia" w:ascii="仿宋_GB2312" w:hAnsi="宋体" w:eastAsia="仿宋_GB2312"/>
          <w:sz w:val="28"/>
          <w:highlight w:val="none"/>
        </w:rPr>
        <w:t>3.登记表中生产设备、原辅材料及生产工艺均符合企业实际</w:t>
      </w:r>
      <w:r>
        <w:rPr>
          <w:rFonts w:hint="eastAsia" w:ascii="仿宋_GB2312" w:eastAsia="仿宋_GB2312"/>
          <w:sz w:val="28"/>
          <w:highlight w:val="none"/>
        </w:rPr>
        <w:t>。</w:t>
      </w:r>
    </w:p>
    <w:p>
      <w:pPr>
        <w:keepNext w:val="0"/>
        <w:keepLines w:val="0"/>
        <w:pageBreakBefore w:val="0"/>
        <w:widowControl w:val="0"/>
        <w:shd w:val="clear"/>
        <w:kinsoku/>
        <w:wordWrap/>
        <w:overflowPunct/>
        <w:topLinePunct w:val="0"/>
        <w:autoSpaceDE w:val="0"/>
        <w:autoSpaceDN w:val="0"/>
        <w:bidi w:val="0"/>
        <w:adjustRightInd w:val="0"/>
        <w:snapToGrid/>
        <w:spacing w:line="240" w:lineRule="auto"/>
        <w:ind w:firstLine="560" w:firstLineChars="200"/>
        <w:textAlignment w:val="auto"/>
        <w:rPr>
          <w:rFonts w:hint="eastAsia" w:ascii="仿宋_GB2312" w:eastAsia="仿宋_GB2312"/>
          <w:sz w:val="28"/>
          <w:highlight w:val="none"/>
        </w:rPr>
      </w:pPr>
      <w:r>
        <w:rPr>
          <w:rFonts w:hint="eastAsia" w:ascii="仿宋_GB2312" w:eastAsia="仿宋_GB2312"/>
          <w:sz w:val="28"/>
          <w:highlight w:val="none"/>
        </w:rPr>
        <w:t>4.建设项目信息公开实事求是，真实可信，无失实行为。</w:t>
      </w:r>
    </w:p>
    <w:p>
      <w:pPr>
        <w:keepNext w:val="0"/>
        <w:keepLines w:val="0"/>
        <w:pageBreakBefore w:val="0"/>
        <w:widowControl w:val="0"/>
        <w:shd w:val="clear"/>
        <w:kinsoku/>
        <w:wordWrap/>
        <w:overflowPunct/>
        <w:topLinePunct w:val="0"/>
        <w:autoSpaceDE w:val="0"/>
        <w:autoSpaceDN w:val="0"/>
        <w:bidi w:val="0"/>
        <w:adjustRightInd w:val="0"/>
        <w:snapToGrid/>
        <w:spacing w:line="240" w:lineRule="auto"/>
        <w:ind w:firstLine="560" w:firstLineChars="200"/>
        <w:textAlignment w:val="auto"/>
        <w:rPr>
          <w:rFonts w:hint="eastAsia" w:ascii="仿宋_GB2312" w:eastAsia="仿宋_GB2312"/>
          <w:sz w:val="28"/>
          <w:highlight w:val="none"/>
        </w:rPr>
      </w:pPr>
      <w:r>
        <w:rPr>
          <w:rFonts w:hint="eastAsia" w:ascii="仿宋_GB2312" w:eastAsia="仿宋_GB2312"/>
          <w:sz w:val="28"/>
          <w:highlight w:val="none"/>
        </w:rPr>
        <w:t>5.严格实施污染物排放种类和总量控制，严格执行国家、地方规定的污染物排放标准，且做到稳定达标排放。相关执行标准出台或修改，按新标准执行。</w:t>
      </w:r>
    </w:p>
    <w:p>
      <w:pPr>
        <w:keepNext w:val="0"/>
        <w:keepLines w:val="0"/>
        <w:pageBreakBefore w:val="0"/>
        <w:widowControl w:val="0"/>
        <w:shd w:val="clear"/>
        <w:kinsoku/>
        <w:wordWrap/>
        <w:overflowPunct/>
        <w:topLinePunct w:val="0"/>
        <w:autoSpaceDE w:val="0"/>
        <w:autoSpaceDN w:val="0"/>
        <w:bidi w:val="0"/>
        <w:adjustRightInd w:val="0"/>
        <w:snapToGrid/>
        <w:spacing w:line="240" w:lineRule="auto"/>
        <w:ind w:firstLine="560" w:firstLineChars="200"/>
        <w:textAlignment w:val="auto"/>
        <w:rPr>
          <w:rFonts w:hint="eastAsia" w:ascii="仿宋_GB2312" w:eastAsia="仿宋_GB2312"/>
          <w:sz w:val="28"/>
          <w:highlight w:val="none"/>
        </w:rPr>
      </w:pPr>
      <w:r>
        <w:rPr>
          <w:rFonts w:hint="eastAsia" w:ascii="仿宋_GB2312" w:eastAsia="仿宋_GB2312"/>
          <w:sz w:val="28"/>
          <w:highlight w:val="none"/>
        </w:rPr>
        <w:t>6.项目建设过程中严格落实各项环保措施，严格执行“三同时”制度。</w:t>
      </w:r>
    </w:p>
    <w:p>
      <w:pPr>
        <w:keepNext w:val="0"/>
        <w:keepLines w:val="0"/>
        <w:pageBreakBefore w:val="0"/>
        <w:widowControl w:val="0"/>
        <w:shd w:val="clear"/>
        <w:kinsoku/>
        <w:wordWrap/>
        <w:overflowPunct/>
        <w:topLinePunct w:val="0"/>
        <w:autoSpaceDE w:val="0"/>
        <w:autoSpaceDN w:val="0"/>
        <w:bidi w:val="0"/>
        <w:adjustRightInd w:val="0"/>
        <w:snapToGrid/>
        <w:spacing w:line="240" w:lineRule="auto"/>
        <w:ind w:firstLine="560" w:firstLineChars="200"/>
        <w:textAlignment w:val="auto"/>
        <w:rPr>
          <w:rFonts w:hint="eastAsia" w:ascii="仿宋_GB2312" w:eastAsia="仿宋_GB2312"/>
          <w:sz w:val="28"/>
          <w:highlight w:val="none"/>
        </w:rPr>
      </w:pPr>
      <w:r>
        <w:rPr>
          <w:rFonts w:hint="eastAsia" w:ascii="仿宋_GB2312" w:eastAsia="仿宋_GB2312"/>
          <w:sz w:val="28"/>
          <w:highlight w:val="none"/>
        </w:rPr>
        <w:t>7.建设项目性质、地点、污染物种类等发生重大变化的，将重新报备。</w:t>
      </w:r>
    </w:p>
    <w:p>
      <w:pPr>
        <w:keepNext w:val="0"/>
        <w:keepLines w:val="0"/>
        <w:pageBreakBefore w:val="0"/>
        <w:widowControl w:val="0"/>
        <w:shd w:val="clear"/>
        <w:kinsoku/>
        <w:wordWrap/>
        <w:overflowPunct/>
        <w:topLinePunct w:val="0"/>
        <w:autoSpaceDE w:val="0"/>
        <w:autoSpaceDN w:val="0"/>
        <w:bidi w:val="0"/>
        <w:adjustRightInd w:val="0"/>
        <w:snapToGrid/>
        <w:spacing w:line="240" w:lineRule="auto"/>
        <w:ind w:firstLine="551" w:firstLineChars="196"/>
        <w:textAlignment w:val="auto"/>
        <w:rPr>
          <w:rFonts w:hint="eastAsia" w:ascii="仿宋_GB2312" w:hAnsi="宋体" w:eastAsia="仿宋_GB2312"/>
          <w:b/>
          <w:sz w:val="28"/>
          <w:highlight w:val="none"/>
        </w:rPr>
      </w:pPr>
      <w:r>
        <w:rPr>
          <w:rFonts w:hint="eastAsia" w:ascii="仿宋_GB2312" w:hAnsi="宋体" w:eastAsia="仿宋_GB2312"/>
          <w:b/>
          <w:sz w:val="28"/>
          <w:highlight w:val="none"/>
        </w:rPr>
        <w:t>承诺书对承诺方具有法律效力，承诺方签字盖章之日起生效。</w:t>
      </w:r>
    </w:p>
    <w:p>
      <w:pPr>
        <w:keepNext w:val="0"/>
        <w:keepLines w:val="0"/>
        <w:pageBreakBefore w:val="0"/>
        <w:widowControl w:val="0"/>
        <w:shd w:val="clear"/>
        <w:kinsoku/>
        <w:wordWrap/>
        <w:overflowPunct/>
        <w:topLinePunct w:val="0"/>
        <w:autoSpaceDE w:val="0"/>
        <w:autoSpaceDN w:val="0"/>
        <w:bidi w:val="0"/>
        <w:adjustRightInd w:val="0"/>
        <w:snapToGrid/>
        <w:spacing w:line="240" w:lineRule="auto"/>
        <w:jc w:val="center"/>
        <w:textAlignment w:val="auto"/>
        <w:rPr>
          <w:rFonts w:hint="eastAsia" w:ascii="仿宋_GB2312" w:hAnsi="宋体" w:eastAsia="仿宋_GB2312"/>
          <w:b/>
          <w:sz w:val="28"/>
          <w:highlight w:val="none"/>
        </w:rPr>
      </w:pPr>
      <w:r>
        <w:rPr>
          <w:rFonts w:hint="eastAsia" w:ascii="仿宋_GB2312" w:hAnsi="宋体" w:eastAsia="仿宋_GB2312"/>
          <w:b/>
          <w:sz w:val="28"/>
          <w:highlight w:val="none"/>
        </w:rPr>
        <w:t xml:space="preserve">                           </w:t>
      </w:r>
      <w:r>
        <w:rPr>
          <w:rFonts w:hint="eastAsia" w:ascii="仿宋_GB2312" w:hAnsi="宋体" w:eastAsia="仿宋_GB2312"/>
          <w:b/>
          <w:sz w:val="28"/>
          <w:highlight w:val="none"/>
          <w:lang w:val="en-US" w:eastAsia="zh-CN"/>
        </w:rPr>
        <w:t>浙江明士达股份有限公司</w:t>
      </w:r>
      <w:r>
        <w:rPr>
          <w:rFonts w:hint="eastAsia" w:ascii="仿宋_GB2312" w:hAnsi="宋体" w:eastAsia="仿宋_GB2312"/>
          <w:b/>
          <w:sz w:val="28"/>
          <w:highlight w:val="none"/>
        </w:rPr>
        <w:t>（盖章）</w:t>
      </w:r>
    </w:p>
    <w:p>
      <w:pPr>
        <w:keepNext w:val="0"/>
        <w:keepLines w:val="0"/>
        <w:pageBreakBefore w:val="0"/>
        <w:widowControl w:val="0"/>
        <w:shd w:val="clear"/>
        <w:kinsoku/>
        <w:wordWrap/>
        <w:overflowPunct/>
        <w:topLinePunct w:val="0"/>
        <w:autoSpaceDE w:val="0"/>
        <w:autoSpaceDN w:val="0"/>
        <w:bidi w:val="0"/>
        <w:adjustRightInd w:val="0"/>
        <w:snapToGrid/>
        <w:spacing w:line="240" w:lineRule="auto"/>
        <w:ind w:firstLine="4357" w:firstLineChars="1550"/>
        <w:textAlignment w:val="auto"/>
        <w:rPr>
          <w:rFonts w:hint="eastAsia" w:ascii="仿宋_GB2312" w:hAnsi="宋体" w:eastAsia="仿宋_GB2312"/>
          <w:b/>
          <w:sz w:val="28"/>
          <w:highlight w:val="none"/>
        </w:rPr>
      </w:pPr>
      <w:r>
        <w:rPr>
          <w:rFonts w:hint="eastAsia" w:ascii="仿宋_GB2312" w:hAnsi="宋体" w:eastAsia="仿宋_GB2312"/>
          <w:b/>
          <w:sz w:val="28"/>
          <w:highlight w:val="none"/>
        </w:rPr>
        <w:t>法定代表人（签字）：</w:t>
      </w:r>
    </w:p>
    <w:p>
      <w:pPr>
        <w:keepNext w:val="0"/>
        <w:keepLines w:val="0"/>
        <w:pageBreakBefore w:val="0"/>
        <w:widowControl w:val="0"/>
        <w:shd w:val="clear"/>
        <w:kinsoku/>
        <w:wordWrap/>
        <w:overflowPunct/>
        <w:topLinePunct w:val="0"/>
        <w:autoSpaceDE w:val="0"/>
        <w:autoSpaceDN w:val="0"/>
        <w:bidi w:val="0"/>
        <w:adjustRightInd w:val="0"/>
        <w:snapToGrid/>
        <w:spacing w:line="240" w:lineRule="auto"/>
        <w:textAlignment w:val="auto"/>
        <w:rPr>
          <w:rFonts w:hint="eastAsia"/>
          <w:lang w:val="en-US" w:eastAsia="zh-CN"/>
        </w:rPr>
      </w:pPr>
      <w:r>
        <w:rPr>
          <w:rFonts w:hint="eastAsia" w:ascii="仿宋_GB2312" w:hAnsi="宋体" w:eastAsia="仿宋_GB2312"/>
          <w:b/>
          <w:sz w:val="28"/>
          <w:highlight w:val="none"/>
          <w:lang w:val="en-US" w:eastAsia="zh-CN"/>
        </w:rPr>
        <w:t xml:space="preserve">                                  2020</w:t>
      </w:r>
      <w:r>
        <w:rPr>
          <w:rFonts w:hint="eastAsia" w:ascii="仿宋_GB2312" w:hAnsi="宋体" w:eastAsia="仿宋_GB2312"/>
          <w:b/>
          <w:sz w:val="28"/>
          <w:highlight w:val="none"/>
        </w:rPr>
        <w:t>年</w:t>
      </w:r>
      <w:r>
        <w:rPr>
          <w:rFonts w:hint="eastAsia" w:ascii="仿宋_GB2312" w:hAnsi="宋体" w:eastAsia="仿宋_GB2312"/>
          <w:b/>
          <w:sz w:val="28"/>
          <w:highlight w:val="none"/>
          <w:lang w:val="en-US" w:eastAsia="zh-CN"/>
        </w:rPr>
        <w:t>9</w:t>
      </w:r>
      <w:r>
        <w:rPr>
          <w:rFonts w:hint="eastAsia" w:ascii="仿宋_GB2312" w:hAnsi="宋体" w:eastAsia="仿宋_GB2312"/>
          <w:b/>
          <w:sz w:val="28"/>
          <w:highlight w:val="none"/>
        </w:rPr>
        <w:t>月</w:t>
      </w:r>
      <w:r>
        <w:rPr>
          <w:rFonts w:hint="eastAsia" w:ascii="仿宋_GB2312" w:hAnsi="宋体" w:eastAsia="仿宋_GB2312"/>
          <w:b/>
          <w:sz w:val="28"/>
          <w:highlight w:val="none"/>
          <w:lang w:val="en-US" w:eastAsia="zh-CN"/>
        </w:rPr>
        <w:t>2</w:t>
      </w:r>
      <w:r>
        <w:rPr>
          <w:rFonts w:hint="eastAsia" w:ascii="仿宋_GB2312" w:hAnsi="宋体" w:eastAsia="仿宋_GB2312"/>
          <w:b/>
          <w:sz w:val="28"/>
          <w:highlight w:val="none"/>
        </w:rPr>
        <w:t>日</w:t>
      </w:r>
    </w:p>
    <w:p>
      <w:pPr>
        <w:shd w:val="clear"/>
        <w:jc w:val="center"/>
        <w:rPr>
          <w:rFonts w:hint="eastAsia" w:ascii="Times New Roman" w:hAnsi="Times New Roman" w:eastAsia="宋体"/>
          <w:color w:val="auto"/>
          <w:highlight w:val="none"/>
          <w:lang w:eastAsia="zh-CN"/>
        </w:rPr>
        <w:sectPr>
          <w:pgSz w:w="11906" w:h="16838"/>
          <w:pgMar w:top="1570" w:right="1440" w:bottom="1570" w:left="1440" w:header="851" w:footer="992" w:gutter="0"/>
          <w:pgNumType w:fmt="decimal"/>
          <w:cols w:space="720" w:num="1"/>
          <w:docGrid w:type="lines" w:linePitch="312" w:charSpace="0"/>
        </w:sectPr>
      </w:pPr>
    </w:p>
    <w:p>
      <w:pPr>
        <w:shd w:val="clea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附件</w:t>
      </w:r>
      <w:r>
        <w:rPr>
          <w:rFonts w:hint="eastAsia"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lang w:val="en-US" w:eastAsia="zh-CN"/>
        </w:rPr>
        <w:t xml:space="preserve"> 关于环境影响文件信息公开的情况说明</w:t>
      </w:r>
    </w:p>
    <w:p>
      <w:pPr>
        <w:keepNext w:val="0"/>
        <w:keepLines w:val="0"/>
        <w:pageBreakBefore w:val="0"/>
        <w:widowControl w:val="0"/>
        <w:shd w:val="clear"/>
        <w:kinsoku/>
        <w:wordWrap/>
        <w:overflowPunct/>
        <w:topLinePunct w:val="0"/>
        <w:autoSpaceDE w:val="0"/>
        <w:autoSpaceDN w:val="0"/>
        <w:bidi w:val="0"/>
        <w:adjustRightInd w:val="0"/>
        <w:snapToGrid/>
        <w:jc w:val="both"/>
        <w:textAlignment w:val="auto"/>
        <w:rPr>
          <w:rFonts w:hint="eastAsia"/>
          <w:b/>
          <w:sz w:val="30"/>
          <w:highlight w:val="none"/>
        </w:rPr>
      </w:pPr>
    </w:p>
    <w:p>
      <w:pPr>
        <w:shd w:val="clear"/>
        <w:spacing w:before="468" w:beforeLines="150"/>
        <w:ind w:firstLine="602" w:firstLineChars="200"/>
        <w:jc w:val="center"/>
        <w:rPr>
          <w:rFonts w:hint="eastAsia"/>
          <w:b/>
          <w:sz w:val="30"/>
          <w:highlight w:val="none"/>
        </w:rPr>
      </w:pPr>
      <w:r>
        <w:rPr>
          <w:rFonts w:hint="eastAsia"/>
          <w:b/>
          <w:sz w:val="30"/>
          <w:highlight w:val="none"/>
        </w:rPr>
        <w:t>关于环境影响文件信息公开的情况说明</w:t>
      </w:r>
    </w:p>
    <w:p>
      <w:pPr>
        <w:shd w:val="clear"/>
        <w:wordWrap w:val="0"/>
        <w:ind w:firstLine="600" w:firstLineChars="200"/>
        <w:jc w:val="right"/>
        <w:rPr>
          <w:rFonts w:hint="eastAsia" w:ascii="仿宋_GB2312" w:eastAsia="仿宋_GB2312"/>
          <w:sz w:val="30"/>
          <w:highlight w:val="none"/>
        </w:rPr>
      </w:pPr>
    </w:p>
    <w:p>
      <w:pPr>
        <w:shd w:val="clear"/>
        <w:spacing w:line="360" w:lineRule="auto"/>
        <w:ind w:firstLine="560" w:firstLineChars="200"/>
        <w:rPr>
          <w:rFonts w:hint="eastAsia" w:ascii="Times New Roman" w:hAnsi="Times New Roman" w:eastAsia="Times New Roman"/>
          <w:sz w:val="28"/>
          <w:highlight w:val="none"/>
        </w:rPr>
      </w:pPr>
      <w:r>
        <w:rPr>
          <w:rFonts w:hint="eastAsia" w:ascii="Times New Roman" w:hAnsi="Times New Roman"/>
          <w:sz w:val="28"/>
          <w:highlight w:val="none"/>
        </w:rPr>
        <w:t>我单位“</w:t>
      </w:r>
      <w:r>
        <w:rPr>
          <w:rFonts w:hint="eastAsia" w:ascii="Times New Roman" w:hAnsi="Times New Roman"/>
          <w:sz w:val="28"/>
          <w:highlight w:val="none"/>
          <w:u w:val="single"/>
          <w:lang w:val="en-US" w:eastAsia="zh-CN"/>
        </w:rPr>
        <w:t>浙江明士达股份有限公司环保柔性材料及产品研发中心建设项目</w:t>
      </w:r>
      <w:r>
        <w:rPr>
          <w:rFonts w:hint="eastAsia" w:ascii="Times New Roman" w:hAnsi="Times New Roman"/>
          <w:sz w:val="28"/>
          <w:highlight w:val="none"/>
          <w:u w:val="single"/>
        </w:rPr>
        <w:t>环境影响评价文件全本以及企业法人承诺书”</w:t>
      </w:r>
      <w:r>
        <w:rPr>
          <w:rFonts w:hint="eastAsia" w:ascii="Times New Roman" w:hAnsi="Times New Roman"/>
          <w:sz w:val="28"/>
          <w:highlight w:val="none"/>
        </w:rPr>
        <w:t>已于</w:t>
      </w:r>
      <w:r>
        <w:rPr>
          <w:rFonts w:hint="eastAsia" w:ascii="Times New Roman" w:hAnsi="Times New Roman"/>
          <w:sz w:val="28"/>
          <w:highlight w:val="none"/>
          <w:lang w:val="en-US" w:eastAsia="zh-CN"/>
        </w:rPr>
        <w:t xml:space="preserve">  2020  </w:t>
      </w:r>
      <w:r>
        <w:rPr>
          <w:rFonts w:hint="eastAsia" w:ascii="Times New Roman" w:hAnsi="Times New Roman"/>
          <w:sz w:val="28"/>
          <w:highlight w:val="none"/>
        </w:rPr>
        <w:t>年</w:t>
      </w:r>
      <w:r>
        <w:rPr>
          <w:rFonts w:hint="eastAsia" w:ascii="Times New Roman" w:hAnsi="Times New Roman"/>
          <w:sz w:val="28"/>
          <w:highlight w:val="none"/>
          <w:lang w:val="en-US" w:eastAsia="zh-CN"/>
        </w:rPr>
        <w:t>9</w:t>
      </w:r>
      <w:r>
        <w:rPr>
          <w:rFonts w:hint="eastAsia" w:ascii="Times New Roman" w:hAnsi="Times New Roman"/>
          <w:sz w:val="28"/>
          <w:highlight w:val="none"/>
        </w:rPr>
        <w:t xml:space="preserve"> 月 </w:t>
      </w:r>
      <w:r>
        <w:rPr>
          <w:rFonts w:hint="eastAsia" w:ascii="Times New Roman" w:hAnsi="Times New Roman"/>
          <w:sz w:val="28"/>
          <w:highlight w:val="none"/>
          <w:lang w:val="en-US" w:eastAsia="zh-CN"/>
        </w:rPr>
        <w:t>1</w:t>
      </w:r>
      <w:r>
        <w:rPr>
          <w:rFonts w:hint="eastAsia" w:ascii="Times New Roman" w:hAnsi="Times New Roman"/>
          <w:sz w:val="28"/>
          <w:highlight w:val="none"/>
        </w:rPr>
        <w:t>日在杭州市环境保护有限公司网站（http://www.hzshbgs.com/index.html）进行公开。</w:t>
      </w:r>
    </w:p>
    <w:p>
      <w:pPr>
        <w:shd w:val="clear"/>
        <w:spacing w:line="360" w:lineRule="auto"/>
        <w:ind w:firstLine="560" w:firstLineChars="200"/>
        <w:rPr>
          <w:rFonts w:hint="eastAsia" w:ascii="Times New Roman" w:hAnsi="Times New Roman" w:eastAsia="Times New Roman"/>
          <w:sz w:val="28"/>
          <w:highlight w:val="none"/>
        </w:rPr>
      </w:pPr>
      <w:r>
        <w:rPr>
          <w:rFonts w:hint="eastAsia" w:ascii="Times New Roman" w:hAnsi="Times New Roman"/>
          <w:sz w:val="28"/>
          <w:highlight w:val="none"/>
        </w:rPr>
        <w:t>公示文本不涉及个人隐私、国家秘密、商业秘密，无删除内容。</w:t>
      </w:r>
    </w:p>
    <w:p>
      <w:pPr>
        <w:shd w:val="clear"/>
        <w:rPr>
          <w:rFonts w:hint="eastAsia"/>
          <w:sz w:val="28"/>
          <w:highlight w:val="none"/>
        </w:rPr>
      </w:pPr>
    </w:p>
    <w:p>
      <w:pPr>
        <w:pStyle w:val="3"/>
        <w:keepNext w:val="0"/>
        <w:keepLines w:val="0"/>
        <w:pageBreakBefore w:val="0"/>
        <w:widowControl w:val="0"/>
        <w:shd w:val="clear"/>
        <w:kinsoku/>
        <w:wordWrap/>
        <w:overflowPunct/>
        <w:topLinePunct w:val="0"/>
        <w:autoSpaceDE/>
        <w:autoSpaceDN/>
        <w:bidi w:val="0"/>
        <w:adjustRightInd/>
        <w:snapToGrid/>
        <w:ind w:firstLine="0" w:firstLineChars="0"/>
        <w:jc w:val="right"/>
        <w:textAlignment w:val="auto"/>
        <w:rPr>
          <w:rFonts w:hint="default" w:ascii="Times New Roman" w:hAnsi="Times New Roman" w:cs="Times New Roman"/>
          <w:sz w:val="28"/>
          <w:highlight w:val="none"/>
          <w:u w:val="none"/>
          <w:lang w:val="en-US" w:eastAsia="zh-CN"/>
        </w:rPr>
      </w:pPr>
      <w:r>
        <w:rPr>
          <w:rFonts w:hint="default" w:ascii="Times New Roman" w:hAnsi="Times New Roman" w:cs="Times New Roman"/>
          <w:sz w:val="28"/>
          <w:highlight w:val="none"/>
          <w:u w:val="none"/>
          <w:lang w:val="en-US" w:eastAsia="zh-CN"/>
        </w:rPr>
        <w:t>浙江明士达股份有限公司</w:t>
      </w:r>
    </w:p>
    <w:p>
      <w:pPr>
        <w:pStyle w:val="3"/>
        <w:keepNext w:val="0"/>
        <w:keepLines w:val="0"/>
        <w:pageBreakBefore w:val="0"/>
        <w:widowControl w:val="0"/>
        <w:shd w:val="clear"/>
        <w:kinsoku/>
        <w:wordWrap/>
        <w:overflowPunct/>
        <w:topLinePunct w:val="0"/>
        <w:autoSpaceDE/>
        <w:autoSpaceDN/>
        <w:bidi w:val="0"/>
        <w:adjustRightInd/>
        <w:snapToGrid/>
        <w:ind w:firstLine="0" w:firstLineChars="0"/>
        <w:jc w:val="right"/>
        <w:textAlignment w:val="auto"/>
        <w:rPr>
          <w:rFonts w:hint="default" w:ascii="Times New Roman" w:hAnsi="Times New Roman" w:eastAsia="Times New Roman" w:cs="Times New Roman"/>
          <w:color w:val="auto"/>
          <w:sz w:val="28"/>
          <w:highlight w:val="none"/>
          <w:lang w:val="en-US" w:eastAsia="zh-CN"/>
        </w:rPr>
        <w:sectPr>
          <w:pgSz w:w="11906" w:h="16838"/>
          <w:pgMar w:top="1134" w:right="1134" w:bottom="1134" w:left="1417" w:header="851" w:footer="992" w:gutter="0"/>
          <w:lnNumType w:countBy="0" w:distance="360"/>
          <w:cols w:space="720" w:num="1"/>
          <w:docGrid w:type="lines" w:linePitch="312" w:charSpace="0"/>
        </w:sectPr>
      </w:pPr>
      <w:r>
        <w:rPr>
          <w:rFonts w:hint="default" w:ascii="Times New Roman" w:hAnsi="Times New Roman" w:cs="Times New Roman"/>
          <w:sz w:val="28"/>
          <w:highlight w:val="none"/>
          <w:lang w:val="en-US" w:eastAsia="zh-CN"/>
        </w:rPr>
        <w:t>2020</w:t>
      </w:r>
      <w:r>
        <w:rPr>
          <w:rFonts w:hint="default" w:ascii="Times New Roman" w:hAnsi="Times New Roman" w:cs="Times New Roman"/>
          <w:sz w:val="28"/>
          <w:highlight w:val="none"/>
        </w:rPr>
        <w:t>年</w:t>
      </w:r>
      <w:r>
        <w:rPr>
          <w:rFonts w:hint="default" w:ascii="Times New Roman" w:hAnsi="Times New Roman" w:cs="Times New Roman"/>
          <w:sz w:val="28"/>
          <w:highlight w:val="none"/>
          <w:lang w:val="en-US" w:eastAsia="zh-CN"/>
        </w:rPr>
        <w:t>9</w:t>
      </w:r>
      <w:r>
        <w:rPr>
          <w:rFonts w:hint="default" w:ascii="Times New Roman" w:hAnsi="Times New Roman" w:cs="Times New Roman"/>
          <w:sz w:val="28"/>
          <w:highlight w:val="none"/>
        </w:rPr>
        <w:t xml:space="preserve">月 </w:t>
      </w:r>
      <w:r>
        <w:rPr>
          <w:rFonts w:hint="default" w:ascii="Times New Roman" w:hAnsi="Times New Roman" w:cs="Times New Roman"/>
          <w:sz w:val="28"/>
          <w:highlight w:val="none"/>
          <w:lang w:val="en-US" w:eastAsia="zh-CN"/>
        </w:rPr>
        <w:t>2</w:t>
      </w:r>
      <w:r>
        <w:rPr>
          <w:rFonts w:hint="default" w:ascii="Times New Roman" w:hAnsi="Times New Roman" w:cs="Times New Roman"/>
          <w:sz w:val="28"/>
          <w:highlight w:val="none"/>
        </w:rPr>
        <w:t>日</w:t>
      </w:r>
    </w:p>
    <w:p>
      <w:pPr>
        <w:keepNext w:val="0"/>
        <w:keepLines w:val="0"/>
        <w:pageBreakBefore w:val="0"/>
        <w:shd w:val="clear"/>
        <w:kinsoku/>
        <w:wordWrap/>
        <w:overflowPunct/>
        <w:topLinePunct w:val="0"/>
        <w:bidi w:val="0"/>
        <w:spacing w:line="240" w:lineRule="auto"/>
        <w:ind w:firstLine="0"/>
        <w:jc w:val="both"/>
        <w:rPr>
          <w:rFonts w:hint="eastAsia" w:ascii="Times New Roman" w:hAnsi="Times New Roman"/>
          <w:b/>
          <w:bCs/>
          <w:color w:val="auto"/>
          <w:highlight w:val="none"/>
          <w:lang w:val="en-US" w:eastAsia="zh-CN"/>
        </w:rPr>
      </w:pPr>
      <w:r>
        <w:rPr>
          <w:rFonts w:hint="eastAsia" w:ascii="Times New Roman" w:hAnsi="Times New Roman"/>
          <w:b/>
          <w:bCs/>
          <w:color w:val="auto"/>
          <w:highlight w:val="none"/>
          <w:lang w:val="en-US" w:eastAsia="zh-CN"/>
        </w:rPr>
        <w:t>附表 建设项目环评审批基础信息表</w:t>
      </w:r>
    </w:p>
    <w:p>
      <w:pPr>
        <w:keepNext w:val="0"/>
        <w:keepLines w:val="0"/>
        <w:widowControl/>
        <w:suppressLineNumbers w:val="0"/>
        <w:shd w:val="clear"/>
        <w:jc w:val="left"/>
        <w:rPr>
          <w:rFonts w:hint="eastAsia" w:eastAsia="宋体"/>
          <w:highlight w:val="none"/>
          <w:lang w:eastAsia="zh-CN"/>
        </w:rPr>
      </w:pPr>
      <w:r>
        <w:rPr>
          <w:rFonts w:hint="eastAsia" w:eastAsia="宋体"/>
          <w:highlight w:val="none"/>
          <w:lang w:eastAsia="zh-CN"/>
        </w:rPr>
        <w:drawing>
          <wp:inline distT="0" distB="0" distL="114300" distR="114300">
            <wp:extent cx="9121140" cy="5960110"/>
            <wp:effectExtent l="0" t="0" r="3810" b="2540"/>
            <wp:docPr id="26" name="图片 26" descr="基础信息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基础信息表"/>
                    <pic:cNvPicPr>
                      <a:picLocks noChangeAspect="1"/>
                    </pic:cNvPicPr>
                  </pic:nvPicPr>
                  <pic:blipFill>
                    <a:blip r:embed="rId26"/>
                    <a:stretch>
                      <a:fillRect/>
                    </a:stretch>
                  </pic:blipFill>
                  <pic:spPr>
                    <a:xfrm>
                      <a:off x="0" y="0"/>
                      <a:ext cx="9121140" cy="5960110"/>
                    </a:xfrm>
                    <a:prstGeom prst="rect">
                      <a:avLst/>
                    </a:prstGeom>
                  </pic:spPr>
                </pic:pic>
              </a:graphicData>
            </a:graphic>
          </wp:inline>
        </w:drawing>
      </w:r>
    </w:p>
    <w:p>
      <w:pPr>
        <w:pStyle w:val="2"/>
        <w:shd w:val="clear"/>
        <w:ind w:left="0" w:leftChars="0" w:firstLine="0" w:firstLineChars="0"/>
        <w:rPr>
          <w:rFonts w:hint="default"/>
          <w:color w:val="auto"/>
          <w:highlight w:val="none"/>
          <w:lang w:val="en-US" w:eastAsia="zh-CN"/>
        </w:rPr>
      </w:pPr>
    </w:p>
    <w:sectPr>
      <w:pgSz w:w="16838" w:h="11906" w:orient="landscape"/>
      <w:pgMar w:top="567" w:right="1417" w:bottom="567" w:left="1417" w:header="283" w:footer="283" w:gutter="0"/>
      <w:pgNumType w:fmt="decimal"/>
      <w:cols w:space="0" w:num="1"/>
      <w:rtlGutter w:val="0"/>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等线 Light">
    <w:altName w:val="Arial Unicode MS"/>
    <w:panose1 w:val="00000000000000000000"/>
    <w:charset w:val="86"/>
    <w:family w:val="auto"/>
    <w:pitch w:val="default"/>
    <w:sig w:usb0="00000000" w:usb1="00000000" w:usb2="00000016" w:usb3="00000000" w:csb0="0004000F" w:csb1="00000000"/>
  </w:font>
  <w:font w:name="等线">
    <w:altName w:val="Arial Unicode MS"/>
    <w:panose1 w:val="00000000000000000000"/>
    <w:charset w:val="86"/>
    <w:family w:val="auto"/>
    <w:pitch w:val="default"/>
    <w:sig w:usb0="00000000" w:usb1="00000000" w:usb2="00000016" w:usb3="00000000" w:csb0="0004000F" w:csb1="00000000"/>
  </w:font>
  <w:font w:name="楷体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文星简小标宋">
    <w:altName w:val="宋体"/>
    <w:panose1 w:val="0201060900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p>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center" w:y="1"/>
      <w:ind w:firstLine="360"/>
      <w:rPr>
        <w:rStyle w:val="18"/>
      </w:rPr>
    </w:pPr>
    <w:r>
      <w:fldChar w:fldCharType="begin"/>
    </w:r>
    <w:r>
      <w:rPr>
        <w:rStyle w:val="18"/>
      </w:rPr>
      <w:instrText xml:space="preserve">PAGE  </w:instrText>
    </w:r>
    <w:r>
      <w:fldChar w:fldCharType="end"/>
    </w:r>
  </w:p>
  <w:p>
    <w:pPr>
      <w:pStyle w:val="1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rPr>
        <w:rFonts w:ascii="Times New Roman" w:hAnsi="Times New Roman"/>
      </w:rPr>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376662072"/>
                            <w:docPartObj>
                              <w:docPartGallery w:val="autotext"/>
                            </w:docPartObj>
                          </w:sdtPr>
                          <w:sdtEndPr>
                            <w:rPr>
                              <w:rFonts w:ascii="Times New Roman" w:hAnsi="Times New Roman"/>
                            </w:rPr>
                          </w:sdtEndPr>
                          <w:sdtContent>
                            <w:p>
                              <w:pPr>
                                <w:pStyle w:val="11"/>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23</w:t>
                              </w:r>
                              <w:r>
                                <w:rPr>
                                  <w:rFonts w:ascii="Times New Roman" w:hAnsi="Times New Roman"/>
                                </w:rPr>
                                <w:fldChar w:fldCharType="end"/>
                              </w:r>
                            </w:p>
                          </w:sdtContent>
                        </w:sdt>
                        <w:p>
                          <w:pPr>
                            <w:pStyle w:val="2"/>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memoQT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CZnpqEEwIAABUEAAAOAAAAAAAAAAEA&#10;IAAAAB8BAABkcnMvZTJvRG9jLnhtbFBLBQYAAAAABgAGAFkBAACkBQAAAAA=&#10;">
              <v:fill on="f" focussize="0,0"/>
              <v:stroke on="f" weight="0.5pt"/>
              <v:imagedata o:title=""/>
              <o:lock v:ext="edit" aspectratio="f"/>
              <v:textbox inset="0mm,0mm,0mm,0mm" style="mso-fit-shape-to-text:t;">
                <w:txbxContent>
                  <w:sdt>
                    <w:sdtPr>
                      <w:id w:val="1376662072"/>
                      <w:docPartObj>
                        <w:docPartGallery w:val="autotext"/>
                      </w:docPartObj>
                    </w:sdtPr>
                    <w:sdtEndPr>
                      <w:rPr>
                        <w:rFonts w:ascii="Times New Roman" w:hAnsi="Times New Roman"/>
                      </w:rPr>
                    </w:sdtEndPr>
                    <w:sdtContent>
                      <w:p>
                        <w:pPr>
                          <w:pStyle w:val="11"/>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23</w:t>
                        </w:r>
                        <w:r>
                          <w:rPr>
                            <w:rFonts w:ascii="Times New Roman" w:hAnsi="Times New Roman"/>
                          </w:rPr>
                          <w:fldChar w:fldCharType="end"/>
                        </w:r>
                      </w:p>
                    </w:sdtContent>
                  </w:sdt>
                  <w:p>
                    <w:pPr>
                      <w:pStyle w:val="2"/>
                    </w:pPr>
                  </w:p>
                </w:txbxContent>
              </v:textbox>
            </v:shape>
          </w:pict>
        </mc:Fallback>
      </mc:AlternateContent>
    </w:r>
  </w:p>
  <w:p>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C811D3E"/>
    <w:multiLevelType w:val="singleLevel"/>
    <w:tmpl w:val="BC811D3E"/>
    <w:lvl w:ilvl="0" w:tentative="0">
      <w:start w:val="1"/>
      <w:numFmt w:val="decimal"/>
      <w:suff w:val="nothing"/>
      <w:lvlText w:val="（%1）"/>
      <w:lvlJc w:val="left"/>
    </w:lvl>
  </w:abstractNum>
  <w:abstractNum w:abstractNumId="1">
    <w:nsid w:val="0135FF69"/>
    <w:multiLevelType w:val="singleLevel"/>
    <w:tmpl w:val="0135FF69"/>
    <w:lvl w:ilvl="0" w:tentative="0">
      <w:start w:val="1"/>
      <w:numFmt w:val="decimal"/>
      <w:suff w:val="nothing"/>
      <w:lvlText w:val="（%1）"/>
      <w:lvlJc w:val="left"/>
    </w:lvl>
  </w:abstractNum>
  <w:abstractNum w:abstractNumId="2">
    <w:nsid w:val="17D91B28"/>
    <w:multiLevelType w:val="multilevel"/>
    <w:tmpl w:val="17D91B28"/>
    <w:lvl w:ilvl="0" w:tentative="0">
      <w:start w:val="1"/>
      <w:numFmt w:val="decimal"/>
      <w:suff w:val="space"/>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42B3BE37"/>
    <w:multiLevelType w:val="singleLevel"/>
    <w:tmpl w:val="42B3BE37"/>
    <w:lvl w:ilvl="0" w:tentative="0">
      <w:start w:val="1"/>
      <w:numFmt w:val="lowerLetter"/>
      <w:suff w:val="space"/>
      <w:lvlText w:val="%1."/>
      <w:lvlJc w:val="left"/>
    </w:lvl>
  </w:abstractNum>
  <w:abstractNum w:abstractNumId="4">
    <w:nsid w:val="42B3EAA9"/>
    <w:multiLevelType w:val="singleLevel"/>
    <w:tmpl w:val="42B3EAA9"/>
    <w:lvl w:ilvl="0" w:tentative="0">
      <w:start w:val="1"/>
      <w:numFmt w:val="decimal"/>
      <w:suff w:val="nothing"/>
      <w:lvlText w:val="（%1）"/>
      <w:lvlJc w:val="left"/>
    </w:lvl>
  </w:abstractNum>
  <w:abstractNum w:abstractNumId="5">
    <w:nsid w:val="57A82722"/>
    <w:multiLevelType w:val="singleLevel"/>
    <w:tmpl w:val="57A82722"/>
    <w:lvl w:ilvl="0" w:tentative="0">
      <w:start w:val="3"/>
      <w:numFmt w:val="decimal"/>
      <w:suff w:val="nothing"/>
      <w:lvlText w:val="（%1）"/>
      <w:lvlJc w:val="left"/>
    </w:lvl>
  </w:abstractNum>
  <w:abstractNum w:abstractNumId="6">
    <w:nsid w:val="6E6C6774"/>
    <w:multiLevelType w:val="multilevel"/>
    <w:tmpl w:val="6E6C6774"/>
    <w:lvl w:ilvl="0" w:tentative="0">
      <w:start w:val="1"/>
      <w:numFmt w:val="decimal"/>
      <w:pStyle w:val="36"/>
      <w:lvlText w:val="表4.3-%1"/>
      <w:lvlJc w:val="center"/>
      <w:pPr>
        <w:tabs>
          <w:tab w:val="left" w:pos="2552"/>
        </w:tabs>
        <w:ind w:left="2552" w:firstLine="0"/>
      </w:pPr>
      <w:rPr>
        <w:rFonts w:hint="default" w:ascii="Times New Roman" w:hAnsi="Times New Roman" w:eastAsia="宋体" w:cs="Times New Roman"/>
        <w:sz w:val="24"/>
        <w:szCs w:val="21"/>
      </w:rPr>
    </w:lvl>
    <w:lvl w:ilvl="1" w:tentative="0">
      <w:start w:val="1"/>
      <w:numFmt w:val="lowerLetter"/>
      <w:lvlText w:val="%2)"/>
      <w:lvlJc w:val="left"/>
      <w:pPr>
        <w:tabs>
          <w:tab w:val="left" w:pos="3900"/>
        </w:tabs>
        <w:ind w:left="3900" w:hanging="420"/>
      </w:pPr>
    </w:lvl>
    <w:lvl w:ilvl="2" w:tentative="0">
      <w:start w:val="1"/>
      <w:numFmt w:val="lowerRoman"/>
      <w:lvlText w:val="%3."/>
      <w:lvlJc w:val="right"/>
      <w:pPr>
        <w:tabs>
          <w:tab w:val="left" w:pos="4320"/>
        </w:tabs>
        <w:ind w:left="4320" w:hanging="420"/>
      </w:pPr>
    </w:lvl>
    <w:lvl w:ilvl="3" w:tentative="0">
      <w:start w:val="1"/>
      <w:numFmt w:val="decimal"/>
      <w:lvlText w:val="%4."/>
      <w:lvlJc w:val="left"/>
      <w:pPr>
        <w:tabs>
          <w:tab w:val="left" w:pos="4740"/>
        </w:tabs>
        <w:ind w:left="4740" w:hanging="420"/>
      </w:pPr>
    </w:lvl>
    <w:lvl w:ilvl="4" w:tentative="0">
      <w:start w:val="1"/>
      <w:numFmt w:val="lowerLetter"/>
      <w:lvlText w:val="%5)"/>
      <w:lvlJc w:val="left"/>
      <w:pPr>
        <w:tabs>
          <w:tab w:val="left" w:pos="5160"/>
        </w:tabs>
        <w:ind w:left="5160" w:hanging="420"/>
      </w:pPr>
    </w:lvl>
    <w:lvl w:ilvl="5" w:tentative="0">
      <w:start w:val="1"/>
      <w:numFmt w:val="lowerRoman"/>
      <w:lvlText w:val="%6."/>
      <w:lvlJc w:val="right"/>
      <w:pPr>
        <w:tabs>
          <w:tab w:val="left" w:pos="5580"/>
        </w:tabs>
        <w:ind w:left="5580" w:hanging="420"/>
      </w:pPr>
    </w:lvl>
    <w:lvl w:ilvl="6" w:tentative="0">
      <w:start w:val="1"/>
      <w:numFmt w:val="decimal"/>
      <w:lvlText w:val="%7."/>
      <w:lvlJc w:val="left"/>
      <w:pPr>
        <w:tabs>
          <w:tab w:val="left" w:pos="6000"/>
        </w:tabs>
        <w:ind w:left="6000" w:hanging="420"/>
      </w:pPr>
    </w:lvl>
    <w:lvl w:ilvl="7" w:tentative="0">
      <w:start w:val="1"/>
      <w:numFmt w:val="lowerLetter"/>
      <w:lvlText w:val="%8)"/>
      <w:lvlJc w:val="left"/>
      <w:pPr>
        <w:tabs>
          <w:tab w:val="left" w:pos="6420"/>
        </w:tabs>
        <w:ind w:left="6420" w:hanging="420"/>
      </w:pPr>
    </w:lvl>
    <w:lvl w:ilvl="8" w:tentative="0">
      <w:start w:val="1"/>
      <w:numFmt w:val="lowerRoman"/>
      <w:lvlText w:val="%9."/>
      <w:lvlJc w:val="right"/>
      <w:pPr>
        <w:tabs>
          <w:tab w:val="left" w:pos="6840"/>
        </w:tabs>
        <w:ind w:left="6840" w:hanging="420"/>
      </w:pPr>
    </w:lvl>
  </w:abstractNum>
  <w:abstractNum w:abstractNumId="7">
    <w:nsid w:val="762A0030"/>
    <w:multiLevelType w:val="singleLevel"/>
    <w:tmpl w:val="762A0030"/>
    <w:lvl w:ilvl="0" w:tentative="0">
      <w:start w:val="1"/>
      <w:numFmt w:val="decimal"/>
      <w:suff w:val="nothing"/>
      <w:lvlText w:val="（%1）"/>
      <w:lvlJc w:val="left"/>
    </w:lvl>
  </w:abstractNum>
  <w:num w:numId="1">
    <w:abstractNumId w:val="6"/>
  </w:num>
  <w:num w:numId="2">
    <w:abstractNumId w:val="5"/>
  </w:num>
  <w:num w:numId="3">
    <w:abstractNumId w:val="0"/>
  </w:num>
  <w:num w:numId="4">
    <w:abstractNumId w:val="7"/>
  </w:num>
  <w:num w:numId="5">
    <w:abstractNumId w:val="4"/>
  </w:num>
  <w:num w:numId="6">
    <w:abstractNumId w:val="1"/>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val="0"/>
  <w:bordersDoNotSurroundFooter w:val="0"/>
  <w:documentProtection w:enforcement="0"/>
  <w:defaultTabStop w:val="720"/>
  <w:drawingGridHorizontalSpacing w:val="120"/>
  <w:drawingGridVerticalSpacing w:val="165"/>
  <w:displayHorizontalDrawingGridEvery w:val="1"/>
  <w:displayVerticalDrawingGridEvery w:val="1"/>
  <w:doNotShadeFormData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303D"/>
    <w:rsid w:val="00010946"/>
    <w:rsid w:val="00015485"/>
    <w:rsid w:val="000431E1"/>
    <w:rsid w:val="00047935"/>
    <w:rsid w:val="00051EC0"/>
    <w:rsid w:val="0008000D"/>
    <w:rsid w:val="000A6236"/>
    <w:rsid w:val="000B5C6D"/>
    <w:rsid w:val="000B6B8E"/>
    <w:rsid w:val="000C0BC5"/>
    <w:rsid w:val="000D6BE2"/>
    <w:rsid w:val="000E60E4"/>
    <w:rsid w:val="000F2BDF"/>
    <w:rsid w:val="000F70DB"/>
    <w:rsid w:val="00101154"/>
    <w:rsid w:val="001129FC"/>
    <w:rsid w:val="00122876"/>
    <w:rsid w:val="001317D1"/>
    <w:rsid w:val="00140ED8"/>
    <w:rsid w:val="0014161A"/>
    <w:rsid w:val="0014353B"/>
    <w:rsid w:val="00156984"/>
    <w:rsid w:val="001628EB"/>
    <w:rsid w:val="00174AD2"/>
    <w:rsid w:val="00177080"/>
    <w:rsid w:val="001829DD"/>
    <w:rsid w:val="00185175"/>
    <w:rsid w:val="001940FB"/>
    <w:rsid w:val="001A7C43"/>
    <w:rsid w:val="001B7DEA"/>
    <w:rsid w:val="001C5440"/>
    <w:rsid w:val="001C573C"/>
    <w:rsid w:val="001C6B78"/>
    <w:rsid w:val="001D2279"/>
    <w:rsid w:val="001E0D9E"/>
    <w:rsid w:val="001E3D40"/>
    <w:rsid w:val="00205186"/>
    <w:rsid w:val="00205282"/>
    <w:rsid w:val="00210040"/>
    <w:rsid w:val="00210B28"/>
    <w:rsid w:val="00210FD6"/>
    <w:rsid w:val="00212526"/>
    <w:rsid w:val="0021338D"/>
    <w:rsid w:val="00220327"/>
    <w:rsid w:val="00220631"/>
    <w:rsid w:val="00260F1F"/>
    <w:rsid w:val="00277033"/>
    <w:rsid w:val="00282ECF"/>
    <w:rsid w:val="002978E8"/>
    <w:rsid w:val="002C7A4A"/>
    <w:rsid w:val="002E4DC6"/>
    <w:rsid w:val="002E6CE5"/>
    <w:rsid w:val="00302534"/>
    <w:rsid w:val="00306C46"/>
    <w:rsid w:val="00311224"/>
    <w:rsid w:val="00327906"/>
    <w:rsid w:val="003334A2"/>
    <w:rsid w:val="00334CC0"/>
    <w:rsid w:val="003501E7"/>
    <w:rsid w:val="00357F60"/>
    <w:rsid w:val="00372F33"/>
    <w:rsid w:val="003975D0"/>
    <w:rsid w:val="003A6AC4"/>
    <w:rsid w:val="003B5333"/>
    <w:rsid w:val="003C77F8"/>
    <w:rsid w:val="00401249"/>
    <w:rsid w:val="00415410"/>
    <w:rsid w:val="00416A25"/>
    <w:rsid w:val="00417629"/>
    <w:rsid w:val="004268E8"/>
    <w:rsid w:val="00433024"/>
    <w:rsid w:val="00464D68"/>
    <w:rsid w:val="0047413B"/>
    <w:rsid w:val="004777FC"/>
    <w:rsid w:val="004802A0"/>
    <w:rsid w:val="0048075D"/>
    <w:rsid w:val="00485518"/>
    <w:rsid w:val="004A614D"/>
    <w:rsid w:val="004B17BF"/>
    <w:rsid w:val="004B4606"/>
    <w:rsid w:val="004B66DF"/>
    <w:rsid w:val="004B70B7"/>
    <w:rsid w:val="004D5B9B"/>
    <w:rsid w:val="004E326F"/>
    <w:rsid w:val="004F01BA"/>
    <w:rsid w:val="004F10D3"/>
    <w:rsid w:val="004F29ED"/>
    <w:rsid w:val="004F46E3"/>
    <w:rsid w:val="00505D38"/>
    <w:rsid w:val="005165E1"/>
    <w:rsid w:val="005236AE"/>
    <w:rsid w:val="00527FB5"/>
    <w:rsid w:val="005338BD"/>
    <w:rsid w:val="00535430"/>
    <w:rsid w:val="00537F24"/>
    <w:rsid w:val="005454BA"/>
    <w:rsid w:val="005460BE"/>
    <w:rsid w:val="005555B6"/>
    <w:rsid w:val="00555A93"/>
    <w:rsid w:val="00560188"/>
    <w:rsid w:val="005615A1"/>
    <w:rsid w:val="00562697"/>
    <w:rsid w:val="0057303D"/>
    <w:rsid w:val="00575AE5"/>
    <w:rsid w:val="0057697A"/>
    <w:rsid w:val="0059365D"/>
    <w:rsid w:val="005A0A1E"/>
    <w:rsid w:val="005B02C0"/>
    <w:rsid w:val="005B7390"/>
    <w:rsid w:val="005C07CF"/>
    <w:rsid w:val="005C3A5F"/>
    <w:rsid w:val="005D5962"/>
    <w:rsid w:val="005F0FA6"/>
    <w:rsid w:val="005F4887"/>
    <w:rsid w:val="005F4B4C"/>
    <w:rsid w:val="0060436A"/>
    <w:rsid w:val="00605D69"/>
    <w:rsid w:val="00612758"/>
    <w:rsid w:val="00616B2E"/>
    <w:rsid w:val="00631D24"/>
    <w:rsid w:val="00650764"/>
    <w:rsid w:val="00652F2E"/>
    <w:rsid w:val="00666060"/>
    <w:rsid w:val="0066732F"/>
    <w:rsid w:val="00667C4C"/>
    <w:rsid w:val="006701CD"/>
    <w:rsid w:val="0067525C"/>
    <w:rsid w:val="00686138"/>
    <w:rsid w:val="006903BE"/>
    <w:rsid w:val="006916D8"/>
    <w:rsid w:val="006A072A"/>
    <w:rsid w:val="006A4002"/>
    <w:rsid w:val="006C72E2"/>
    <w:rsid w:val="006D5AA4"/>
    <w:rsid w:val="006E4636"/>
    <w:rsid w:val="007011F4"/>
    <w:rsid w:val="00702240"/>
    <w:rsid w:val="00705A57"/>
    <w:rsid w:val="00710D19"/>
    <w:rsid w:val="007124B7"/>
    <w:rsid w:val="00721654"/>
    <w:rsid w:val="007230BE"/>
    <w:rsid w:val="00743DC9"/>
    <w:rsid w:val="00755F67"/>
    <w:rsid w:val="007642B8"/>
    <w:rsid w:val="00772017"/>
    <w:rsid w:val="00772F54"/>
    <w:rsid w:val="00777EA1"/>
    <w:rsid w:val="00785ECC"/>
    <w:rsid w:val="00785F9E"/>
    <w:rsid w:val="00786AD6"/>
    <w:rsid w:val="00795B6C"/>
    <w:rsid w:val="00795FCE"/>
    <w:rsid w:val="007A469C"/>
    <w:rsid w:val="007A72FB"/>
    <w:rsid w:val="007C7522"/>
    <w:rsid w:val="007C782D"/>
    <w:rsid w:val="007E5E3C"/>
    <w:rsid w:val="007F5097"/>
    <w:rsid w:val="00810C83"/>
    <w:rsid w:val="00811EC8"/>
    <w:rsid w:val="00814DF2"/>
    <w:rsid w:val="00820990"/>
    <w:rsid w:val="00821172"/>
    <w:rsid w:val="00831836"/>
    <w:rsid w:val="00834172"/>
    <w:rsid w:val="00844AD6"/>
    <w:rsid w:val="008469BB"/>
    <w:rsid w:val="0086381F"/>
    <w:rsid w:val="0087792F"/>
    <w:rsid w:val="00881631"/>
    <w:rsid w:val="00890A02"/>
    <w:rsid w:val="00897388"/>
    <w:rsid w:val="008A2678"/>
    <w:rsid w:val="008A604F"/>
    <w:rsid w:val="008B4825"/>
    <w:rsid w:val="008B7E20"/>
    <w:rsid w:val="008C7A7F"/>
    <w:rsid w:val="008D307C"/>
    <w:rsid w:val="008D5C68"/>
    <w:rsid w:val="008D719B"/>
    <w:rsid w:val="008E14C1"/>
    <w:rsid w:val="008E3CC8"/>
    <w:rsid w:val="008E43E9"/>
    <w:rsid w:val="008E5555"/>
    <w:rsid w:val="008F1310"/>
    <w:rsid w:val="008F4358"/>
    <w:rsid w:val="0090786C"/>
    <w:rsid w:val="00912E79"/>
    <w:rsid w:val="00924667"/>
    <w:rsid w:val="00926AB6"/>
    <w:rsid w:val="009347F5"/>
    <w:rsid w:val="009421F1"/>
    <w:rsid w:val="00947A29"/>
    <w:rsid w:val="00947E25"/>
    <w:rsid w:val="00950815"/>
    <w:rsid w:val="00957950"/>
    <w:rsid w:val="00963785"/>
    <w:rsid w:val="00965E3E"/>
    <w:rsid w:val="00970274"/>
    <w:rsid w:val="009774C2"/>
    <w:rsid w:val="00987A85"/>
    <w:rsid w:val="00987F2A"/>
    <w:rsid w:val="0099353D"/>
    <w:rsid w:val="00994A45"/>
    <w:rsid w:val="009A0ACF"/>
    <w:rsid w:val="009A6A87"/>
    <w:rsid w:val="009B0FEF"/>
    <w:rsid w:val="009B15C0"/>
    <w:rsid w:val="009B6534"/>
    <w:rsid w:val="009C732E"/>
    <w:rsid w:val="009D3C25"/>
    <w:rsid w:val="009D5107"/>
    <w:rsid w:val="009D5857"/>
    <w:rsid w:val="009E4389"/>
    <w:rsid w:val="009E6E6B"/>
    <w:rsid w:val="00A27262"/>
    <w:rsid w:val="00A352D1"/>
    <w:rsid w:val="00A37261"/>
    <w:rsid w:val="00A47423"/>
    <w:rsid w:val="00A50C80"/>
    <w:rsid w:val="00A560EE"/>
    <w:rsid w:val="00A562DE"/>
    <w:rsid w:val="00A57B2A"/>
    <w:rsid w:val="00A837EA"/>
    <w:rsid w:val="00A84743"/>
    <w:rsid w:val="00A877E5"/>
    <w:rsid w:val="00A91BE0"/>
    <w:rsid w:val="00A925CC"/>
    <w:rsid w:val="00AA6B3B"/>
    <w:rsid w:val="00AB2926"/>
    <w:rsid w:val="00AB7F81"/>
    <w:rsid w:val="00AC4C02"/>
    <w:rsid w:val="00AC7B34"/>
    <w:rsid w:val="00AC7D7F"/>
    <w:rsid w:val="00AD4122"/>
    <w:rsid w:val="00AE3DA7"/>
    <w:rsid w:val="00AE44CB"/>
    <w:rsid w:val="00AE7465"/>
    <w:rsid w:val="00AF48CE"/>
    <w:rsid w:val="00AF5CC2"/>
    <w:rsid w:val="00B04AD5"/>
    <w:rsid w:val="00B10EBC"/>
    <w:rsid w:val="00B148E7"/>
    <w:rsid w:val="00B273E6"/>
    <w:rsid w:val="00B31281"/>
    <w:rsid w:val="00B43267"/>
    <w:rsid w:val="00B748E1"/>
    <w:rsid w:val="00B87E6D"/>
    <w:rsid w:val="00B9499C"/>
    <w:rsid w:val="00B956DD"/>
    <w:rsid w:val="00BA08AA"/>
    <w:rsid w:val="00BB1565"/>
    <w:rsid w:val="00BB1EB4"/>
    <w:rsid w:val="00BB4480"/>
    <w:rsid w:val="00BD06FE"/>
    <w:rsid w:val="00BD5B61"/>
    <w:rsid w:val="00BE6241"/>
    <w:rsid w:val="00BF35DC"/>
    <w:rsid w:val="00BF5020"/>
    <w:rsid w:val="00C03060"/>
    <w:rsid w:val="00C06863"/>
    <w:rsid w:val="00C21AFE"/>
    <w:rsid w:val="00C43847"/>
    <w:rsid w:val="00C50C0E"/>
    <w:rsid w:val="00C5276B"/>
    <w:rsid w:val="00C53449"/>
    <w:rsid w:val="00C82707"/>
    <w:rsid w:val="00C90FAD"/>
    <w:rsid w:val="00C97F38"/>
    <w:rsid w:val="00CB32DC"/>
    <w:rsid w:val="00CC75F3"/>
    <w:rsid w:val="00CC76A3"/>
    <w:rsid w:val="00CC7B5B"/>
    <w:rsid w:val="00CD01F4"/>
    <w:rsid w:val="00CD461D"/>
    <w:rsid w:val="00CD7836"/>
    <w:rsid w:val="00CD7DBF"/>
    <w:rsid w:val="00CE2C48"/>
    <w:rsid w:val="00CE3A52"/>
    <w:rsid w:val="00CE4135"/>
    <w:rsid w:val="00D030DE"/>
    <w:rsid w:val="00D21A36"/>
    <w:rsid w:val="00D22673"/>
    <w:rsid w:val="00D23C58"/>
    <w:rsid w:val="00D27E7A"/>
    <w:rsid w:val="00D34D6F"/>
    <w:rsid w:val="00D40098"/>
    <w:rsid w:val="00D4658D"/>
    <w:rsid w:val="00D508E6"/>
    <w:rsid w:val="00D53A52"/>
    <w:rsid w:val="00D56656"/>
    <w:rsid w:val="00D61E66"/>
    <w:rsid w:val="00D84442"/>
    <w:rsid w:val="00D9197A"/>
    <w:rsid w:val="00DB7FF0"/>
    <w:rsid w:val="00DC736F"/>
    <w:rsid w:val="00DD3954"/>
    <w:rsid w:val="00DE5F99"/>
    <w:rsid w:val="00E15EB8"/>
    <w:rsid w:val="00E17080"/>
    <w:rsid w:val="00E520B1"/>
    <w:rsid w:val="00E7550B"/>
    <w:rsid w:val="00E82409"/>
    <w:rsid w:val="00E90F73"/>
    <w:rsid w:val="00E953D3"/>
    <w:rsid w:val="00E97C3E"/>
    <w:rsid w:val="00EC5D8D"/>
    <w:rsid w:val="00EC66D8"/>
    <w:rsid w:val="00ED2DDF"/>
    <w:rsid w:val="00EE4A2D"/>
    <w:rsid w:val="00EE5657"/>
    <w:rsid w:val="00F02B14"/>
    <w:rsid w:val="00F053E2"/>
    <w:rsid w:val="00F16F04"/>
    <w:rsid w:val="00F213E3"/>
    <w:rsid w:val="00F235FA"/>
    <w:rsid w:val="00F400A7"/>
    <w:rsid w:val="00F41811"/>
    <w:rsid w:val="00F4487A"/>
    <w:rsid w:val="00F45980"/>
    <w:rsid w:val="00F560EF"/>
    <w:rsid w:val="00F57336"/>
    <w:rsid w:val="00F71AA9"/>
    <w:rsid w:val="00F8130C"/>
    <w:rsid w:val="00F85D92"/>
    <w:rsid w:val="00F918F7"/>
    <w:rsid w:val="00F94CD9"/>
    <w:rsid w:val="00F94EEA"/>
    <w:rsid w:val="00F96DA1"/>
    <w:rsid w:val="00FA1230"/>
    <w:rsid w:val="00FA782C"/>
    <w:rsid w:val="00FB352C"/>
    <w:rsid w:val="00FB5658"/>
    <w:rsid w:val="00FB5A35"/>
    <w:rsid w:val="00FC2640"/>
    <w:rsid w:val="00FC517A"/>
    <w:rsid w:val="00FC7297"/>
    <w:rsid w:val="00FC769E"/>
    <w:rsid w:val="00FD5077"/>
    <w:rsid w:val="00FD7D64"/>
    <w:rsid w:val="00FE37AE"/>
    <w:rsid w:val="00FF4148"/>
    <w:rsid w:val="00FF662A"/>
    <w:rsid w:val="01D530B3"/>
    <w:rsid w:val="02623BE2"/>
    <w:rsid w:val="02E1535E"/>
    <w:rsid w:val="03052B88"/>
    <w:rsid w:val="031A0716"/>
    <w:rsid w:val="03482D82"/>
    <w:rsid w:val="038B47B8"/>
    <w:rsid w:val="03B823AB"/>
    <w:rsid w:val="04D94359"/>
    <w:rsid w:val="05771F50"/>
    <w:rsid w:val="058D6398"/>
    <w:rsid w:val="069C2684"/>
    <w:rsid w:val="06A72FE3"/>
    <w:rsid w:val="06FA46B2"/>
    <w:rsid w:val="06FD530F"/>
    <w:rsid w:val="081B732B"/>
    <w:rsid w:val="099945C3"/>
    <w:rsid w:val="0A091E03"/>
    <w:rsid w:val="0A240FEA"/>
    <w:rsid w:val="0A93599F"/>
    <w:rsid w:val="0B063387"/>
    <w:rsid w:val="0B96767E"/>
    <w:rsid w:val="0C1578B4"/>
    <w:rsid w:val="0C591AF5"/>
    <w:rsid w:val="0CF14FD6"/>
    <w:rsid w:val="0D422769"/>
    <w:rsid w:val="0E0D6EBE"/>
    <w:rsid w:val="0E266667"/>
    <w:rsid w:val="0EE55F08"/>
    <w:rsid w:val="0F6117A6"/>
    <w:rsid w:val="0FA414A8"/>
    <w:rsid w:val="0FE74545"/>
    <w:rsid w:val="10775554"/>
    <w:rsid w:val="10BF601A"/>
    <w:rsid w:val="11CA3983"/>
    <w:rsid w:val="12374B1F"/>
    <w:rsid w:val="12937D86"/>
    <w:rsid w:val="12D505B8"/>
    <w:rsid w:val="14BB1362"/>
    <w:rsid w:val="15523F05"/>
    <w:rsid w:val="16F57B12"/>
    <w:rsid w:val="1723779E"/>
    <w:rsid w:val="19B20DBC"/>
    <w:rsid w:val="19D659B7"/>
    <w:rsid w:val="1A1256F6"/>
    <w:rsid w:val="1A301CCA"/>
    <w:rsid w:val="1AC11434"/>
    <w:rsid w:val="1B6A2A31"/>
    <w:rsid w:val="1C0623D8"/>
    <w:rsid w:val="1C61615C"/>
    <w:rsid w:val="1D1B32C4"/>
    <w:rsid w:val="1E1C1885"/>
    <w:rsid w:val="1E264129"/>
    <w:rsid w:val="1EBE5254"/>
    <w:rsid w:val="1EDC48FF"/>
    <w:rsid w:val="1F0936DC"/>
    <w:rsid w:val="1F6D56AC"/>
    <w:rsid w:val="20E15405"/>
    <w:rsid w:val="20FD3EF9"/>
    <w:rsid w:val="21C821A2"/>
    <w:rsid w:val="22807208"/>
    <w:rsid w:val="22C06AC1"/>
    <w:rsid w:val="23102924"/>
    <w:rsid w:val="23813707"/>
    <w:rsid w:val="23875D4B"/>
    <w:rsid w:val="2433020A"/>
    <w:rsid w:val="26410BD0"/>
    <w:rsid w:val="26634392"/>
    <w:rsid w:val="2796439B"/>
    <w:rsid w:val="281C5264"/>
    <w:rsid w:val="2B71320A"/>
    <w:rsid w:val="2CA97997"/>
    <w:rsid w:val="2D4B516A"/>
    <w:rsid w:val="2E1C4A86"/>
    <w:rsid w:val="304B4FDE"/>
    <w:rsid w:val="308E7175"/>
    <w:rsid w:val="30C44FCF"/>
    <w:rsid w:val="32760ABD"/>
    <w:rsid w:val="33AA0EF9"/>
    <w:rsid w:val="37212DA6"/>
    <w:rsid w:val="37351A8E"/>
    <w:rsid w:val="384B2554"/>
    <w:rsid w:val="38F95E92"/>
    <w:rsid w:val="3A732C39"/>
    <w:rsid w:val="3B9A3BA0"/>
    <w:rsid w:val="3BB142A6"/>
    <w:rsid w:val="3BCE4A76"/>
    <w:rsid w:val="3CFA6457"/>
    <w:rsid w:val="3DB206ED"/>
    <w:rsid w:val="3F24326D"/>
    <w:rsid w:val="40253C10"/>
    <w:rsid w:val="40931A63"/>
    <w:rsid w:val="41101035"/>
    <w:rsid w:val="4192637D"/>
    <w:rsid w:val="42AC4A0D"/>
    <w:rsid w:val="4514649D"/>
    <w:rsid w:val="45BA0E80"/>
    <w:rsid w:val="45C341BF"/>
    <w:rsid w:val="461B089A"/>
    <w:rsid w:val="46580D2C"/>
    <w:rsid w:val="46C91A4C"/>
    <w:rsid w:val="46EC1497"/>
    <w:rsid w:val="47787972"/>
    <w:rsid w:val="47D243E0"/>
    <w:rsid w:val="4BC15745"/>
    <w:rsid w:val="4C6F73F2"/>
    <w:rsid w:val="4C825D78"/>
    <w:rsid w:val="4F31266A"/>
    <w:rsid w:val="4F856A2C"/>
    <w:rsid w:val="4F9031F1"/>
    <w:rsid w:val="501A3727"/>
    <w:rsid w:val="50383AFA"/>
    <w:rsid w:val="50A74F72"/>
    <w:rsid w:val="510B324B"/>
    <w:rsid w:val="51424502"/>
    <w:rsid w:val="516653DF"/>
    <w:rsid w:val="51943AC4"/>
    <w:rsid w:val="51A40580"/>
    <w:rsid w:val="51E401B0"/>
    <w:rsid w:val="51F959AC"/>
    <w:rsid w:val="52ED6485"/>
    <w:rsid w:val="53B86B2D"/>
    <w:rsid w:val="53DD0B04"/>
    <w:rsid w:val="53FD65BB"/>
    <w:rsid w:val="55467569"/>
    <w:rsid w:val="560E0B19"/>
    <w:rsid w:val="56B01037"/>
    <w:rsid w:val="5707673A"/>
    <w:rsid w:val="574839D4"/>
    <w:rsid w:val="575F43CE"/>
    <w:rsid w:val="57AF36DB"/>
    <w:rsid w:val="581542C8"/>
    <w:rsid w:val="58580223"/>
    <w:rsid w:val="58E96A5D"/>
    <w:rsid w:val="590034DE"/>
    <w:rsid w:val="59D54FBD"/>
    <w:rsid w:val="5A114D38"/>
    <w:rsid w:val="5A5E6460"/>
    <w:rsid w:val="5AA319D6"/>
    <w:rsid w:val="5B07752E"/>
    <w:rsid w:val="5B230E76"/>
    <w:rsid w:val="5CF878D4"/>
    <w:rsid w:val="5DDE1EAD"/>
    <w:rsid w:val="5DEE41C2"/>
    <w:rsid w:val="5E383DB4"/>
    <w:rsid w:val="61BE6BF7"/>
    <w:rsid w:val="637774BB"/>
    <w:rsid w:val="64E34FFA"/>
    <w:rsid w:val="65010A04"/>
    <w:rsid w:val="65BA7905"/>
    <w:rsid w:val="65C32480"/>
    <w:rsid w:val="661D6D03"/>
    <w:rsid w:val="67A36711"/>
    <w:rsid w:val="67C24E64"/>
    <w:rsid w:val="685A7BC2"/>
    <w:rsid w:val="6A3463C1"/>
    <w:rsid w:val="6B177243"/>
    <w:rsid w:val="6B2705CA"/>
    <w:rsid w:val="6B7430C9"/>
    <w:rsid w:val="6CD713BB"/>
    <w:rsid w:val="6CF9280D"/>
    <w:rsid w:val="6FC733ED"/>
    <w:rsid w:val="6FEA50ED"/>
    <w:rsid w:val="70067581"/>
    <w:rsid w:val="7036724A"/>
    <w:rsid w:val="70D304F0"/>
    <w:rsid w:val="70F406E9"/>
    <w:rsid w:val="711E1318"/>
    <w:rsid w:val="714F7115"/>
    <w:rsid w:val="71F45CCD"/>
    <w:rsid w:val="72565D83"/>
    <w:rsid w:val="73052599"/>
    <w:rsid w:val="75E86E2D"/>
    <w:rsid w:val="76190DA9"/>
    <w:rsid w:val="76B56E9F"/>
    <w:rsid w:val="76D94C19"/>
    <w:rsid w:val="77703D42"/>
    <w:rsid w:val="779924A8"/>
    <w:rsid w:val="77E35ED1"/>
    <w:rsid w:val="78652AA0"/>
    <w:rsid w:val="78DD2D28"/>
    <w:rsid w:val="794371BA"/>
    <w:rsid w:val="7A041A2D"/>
    <w:rsid w:val="7A0E3CA9"/>
    <w:rsid w:val="7A2C1F12"/>
    <w:rsid w:val="7BD430B7"/>
    <w:rsid w:val="7BF419DC"/>
    <w:rsid w:val="7C38173D"/>
    <w:rsid w:val="7C4D2205"/>
    <w:rsid w:val="7DCE093D"/>
    <w:rsid w:val="7E732C8D"/>
    <w:rsid w:val="7F8B72A8"/>
    <w:rsid w:val="7FFD023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14:defaultImageDpi w14:val="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iPriority="99" w:name="heading 4"/>
    <w:lsdException w:qFormat="1" w:uiPriority="99" w:name="heading 5"/>
    <w:lsdException w:qFormat="1" w:uiPriority="99" w:name="heading 6"/>
    <w:lsdException w:qFormat="1" w:uiPriority="99" w:name="heading 7"/>
    <w:lsdException w:qFormat="1" w:uiPriority="99" w:name="heading 8"/>
    <w:lsdException w:qFormat="1" w:uiPriority="99" w:name="heading 9"/>
    <w:lsdException w:qFormat="1" w:unhideWhenUsed="0" w:uiPriority="99" w:semiHidden="0" w:name="index 1"/>
    <w:lsdException w:qFormat="1" w:unhideWhenUsed="0" w:uiPriority="99" w:semiHidden="0" w:name="index 2"/>
    <w:lsdException w:qFormat="1" w:unhideWhenUsed="0" w:uiPriority="99" w:semiHidden="0" w:name="index 3"/>
    <w:lsdException w:qFormat="1" w:unhideWhenUsed="0" w:uiPriority="99" w:semiHidden="0" w:name="index 4"/>
    <w:lsdException w:qFormat="1" w:unhideWhenUsed="0" w:uiPriority="99" w:semiHidden="0" w:name="index 5"/>
    <w:lsdException w:qFormat="1" w:unhideWhenUsed="0" w:uiPriority="99" w:semiHidden="0" w:name="index 6"/>
    <w:lsdException w:qFormat="1" w:unhideWhenUsed="0" w:uiPriority="99" w:semiHidden="0" w:name="index 7"/>
    <w:lsdException w:qFormat="1" w:unhideWhenUsed="0" w:uiPriority="99" w:semiHidden="0" w:name="index 8"/>
    <w:lsdException w:qFormat="1" w:unhideWhenUsed="0" w:uiPriority="99" w:semiHidden="0" w:name="index 9"/>
    <w:lsdException w:qFormat="1" w:unhideWhenUsed="0" w:uiPriority="99" w:semiHidden="0" w:name="toc 1"/>
    <w:lsdException w:qFormat="1" w:unhideWhenUsed="0" w:uiPriority="9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0" w:semiHidden="0" w:name="Normal Indent"/>
    <w:lsdException w:qFormat="1" w:unhideWhenUsed="0" w:uiPriority="99"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qFormat="1" w:unhideWhenUsed="0" w:uiPriority="99" w:semiHidden="0" w:name="index heading"/>
    <w:lsdException w:qFormat="1" w:uiPriority="99" w:name="caption"/>
    <w:lsdException w:qFormat="1" w:unhideWhenUsed="0" w:uiPriority="99" w:semiHidden="0" w:name="table of figures"/>
    <w:lsdException w:qFormat="1" w:unhideWhenUsed="0" w:uiPriority="99" w:semiHidden="0" w:name="envelope address"/>
    <w:lsdException w:qFormat="1" w:unhideWhenUsed="0" w:uiPriority="99" w:semiHidden="0" w:name="envelope return"/>
    <w:lsdException w:qFormat="1" w:unhideWhenUsed="0" w:uiPriority="99" w:semiHidden="0" w:name="footnote reference"/>
    <w:lsdException w:qFormat="1" w:unhideWhenUsed="0" w:uiPriority="99" w:semiHidden="0" w:name="annotation reference"/>
    <w:lsdException w:qFormat="1" w:unhideWhenUsed="0" w:uiPriority="99" w:semiHidden="0" w:name="line number"/>
    <w:lsdException w:qFormat="1" w:unhideWhenUsed="0" w:uiPriority="0" w:semiHidden="0" w:name="page number"/>
    <w:lsdException w:qFormat="1" w:unhideWhenUsed="0" w:uiPriority="99" w:semiHidden="0" w:name="endnote reference"/>
    <w:lsdException w:qFormat="1" w:unhideWhenUsed="0" w:uiPriority="99" w:semiHidden="0" w:name="endnote text"/>
    <w:lsdException w:qFormat="1" w:unhideWhenUsed="0" w:uiPriority="99" w:semiHidden="0" w:name="table of authorities"/>
    <w:lsdException w:qFormat="1" w:unhideWhenUsed="0" w:uiPriority="99" w:semiHidden="0" w:name="macro"/>
    <w:lsdException w:qFormat="1" w:unhideWhenUsed="0" w:uiPriority="99" w:semiHidden="0" w:name="toa heading"/>
    <w:lsdException w:qFormat="1" w:unhideWhenUsed="0" w:uiPriority="0" w:semiHidden="0" w:name="List"/>
    <w:lsdException w:qFormat="1" w:unhideWhenUsed="0" w:uiPriority="99" w:semiHidden="0" w:name="List Bullet"/>
    <w:lsdException w:qFormat="1" w:unhideWhenUsed="0" w:uiPriority="99" w:semiHidden="0" w:name="List Number"/>
    <w:lsdException w:qFormat="1" w:unhideWhenUsed="0" w:uiPriority="99" w:semiHidden="0" w:name="List 2"/>
    <w:lsdException w:qFormat="1" w:unhideWhenUsed="0" w:uiPriority="99" w:semiHidden="0" w:name="List 3"/>
    <w:lsdException w:qFormat="1" w:unhideWhenUsed="0" w:uiPriority="99" w:semiHidden="0" w:name="List 4"/>
    <w:lsdException w:qFormat="1" w:unhideWhenUsed="0" w:uiPriority="99" w:semiHidden="0" w:name="List 5"/>
    <w:lsdException w:qFormat="1" w:unhideWhenUsed="0" w:uiPriority="99" w:semiHidden="0" w:name="List Bullet 2"/>
    <w:lsdException w:qFormat="1" w:unhideWhenUsed="0" w:uiPriority="99" w:semiHidden="0" w:name="List Bullet 3"/>
    <w:lsdException w:qFormat="1" w:unhideWhenUsed="0" w:uiPriority="99" w:semiHidden="0" w:name="List Bullet 4"/>
    <w:lsdException w:qFormat="1" w:unhideWhenUsed="0" w:uiPriority="99" w:semiHidden="0" w:name="List Bullet 5"/>
    <w:lsdException w:qFormat="1" w:unhideWhenUsed="0" w:uiPriority="99" w:semiHidden="0" w:name="List Number 2"/>
    <w:lsdException w:qFormat="1" w:unhideWhenUsed="0" w:uiPriority="99" w:semiHidden="0" w:name="List Number 3"/>
    <w:lsdException w:qFormat="1" w:unhideWhenUsed="0" w:uiPriority="99" w:semiHidden="0" w:name="List Number 4"/>
    <w:lsdException w:qFormat="1" w:unhideWhenUsed="0" w:uiPriority="99" w:semiHidden="0" w:name="List Number 5"/>
    <w:lsdException w:qFormat="1" w:unhideWhenUsed="0" w:uiPriority="0" w:semiHidden="0" w:name="Title"/>
    <w:lsdException w:qFormat="1" w:unhideWhenUsed="0" w:uiPriority="99" w:semiHidden="0" w:name="Closing"/>
    <w:lsdException w:qFormat="1" w:unhideWhenUsed="0" w:uiPriority="99" w:semiHidden="0" w:name="Signature"/>
    <w:lsdException w:qFormat="1" w:uiPriority="1" w:name="Default Paragraph Font"/>
    <w:lsdException w:qFormat="1" w:unhideWhenUsed="0" w:uiPriority="99" w:semiHidden="0" w:name="Body Text"/>
    <w:lsdException w:qFormat="1" w:unhideWhenUsed="0" w:uiPriority="99" w:semiHidden="0" w:name="Body Text Indent"/>
    <w:lsdException w:qFormat="1" w:unhideWhenUsed="0" w:uiPriority="99" w:semiHidden="0" w:name="List Continue"/>
    <w:lsdException w:qFormat="1" w:unhideWhenUsed="0" w:uiPriority="99" w:semiHidden="0" w:name="List Continue 2"/>
    <w:lsdException w:qFormat="1" w:unhideWhenUsed="0" w:uiPriority="99" w:semiHidden="0" w:name="List Continue 3"/>
    <w:lsdException w:qFormat="1" w:unhideWhenUsed="0" w:uiPriority="99" w:semiHidden="0" w:name="List Continue 4"/>
    <w:lsdException w:qFormat="1" w:unhideWhenUsed="0" w:uiPriority="99" w:semiHidden="0" w:name="List Continue 5"/>
    <w:lsdException w:qFormat="1" w:unhideWhenUsed="0" w:uiPriority="99" w:semiHidden="0" w:name="Message Header"/>
    <w:lsdException w:qFormat="1" w:unhideWhenUsed="0" w:uiPriority="99" w:semiHidden="0" w:name="Subtitle"/>
    <w:lsdException w:qFormat="1" w:unhideWhenUsed="0" w:uiPriority="99" w:semiHidden="0" w:name="Salutation"/>
    <w:lsdException w:qFormat="1" w:unhideWhenUsed="0" w:uiPriority="99" w:semiHidden="0" w:name="Date"/>
    <w:lsdException w:qFormat="1" w:unhideWhenUsed="0" w:uiPriority="99" w:semiHidden="0" w:name="Body Text First Indent"/>
    <w:lsdException w:qFormat="1" w:uiPriority="99" w:semiHidden="0" w:name="Body Text First Indent 2"/>
    <w:lsdException w:qFormat="1" w:unhideWhenUsed="0" w:uiPriority="99" w:semiHidden="0" w:name="Note Heading"/>
    <w:lsdException w:qFormat="1" w:unhideWhenUsed="0" w:uiPriority="99" w:semiHidden="0" w:name="Body Text 2"/>
    <w:lsdException w:qFormat="1" w:unhideWhenUsed="0" w:uiPriority="99" w:semiHidden="0" w:name="Body Text 3"/>
    <w:lsdException w:qFormat="1" w:unhideWhenUsed="0" w:uiPriority="99" w:semiHidden="0" w:name="Body Text Indent 2"/>
    <w:lsdException w:qFormat="1" w:unhideWhenUsed="0" w:uiPriority="99" w:semiHidden="0" w:name="Body Text Indent 3"/>
    <w:lsdException w:qFormat="1" w:unhideWhenUsed="0" w:uiPriority="99" w:semiHidden="0" w:name="Block Text"/>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semiHidden="0" w:name="Document Map"/>
    <w:lsdException w:qFormat="1" w:unhideWhenUsed="0" w:uiPriority="99" w:semiHidden="0" w:name="Plain Text"/>
    <w:lsdException w:qFormat="1" w:unhideWhenUsed="0" w:uiPriority="99" w:semiHidden="0" w:name="E-mail Signature"/>
    <w:lsdException w:qFormat="1" w:unhideWhenUsed="0" w:uiPriority="99" w:semiHidden="0" w:name="Normal (Web)"/>
    <w:lsdException w:qFormat="1" w:unhideWhenUsed="0" w:uiPriority="99" w:semiHidden="0" w:name="HTML Acronym"/>
    <w:lsdException w:qFormat="1" w:unhideWhenUsed="0" w:uiPriority="99" w:semiHidden="0" w:name="HTML Address"/>
    <w:lsdException w:qFormat="1" w:unhideWhenUsed="0" w:uiPriority="99" w:semiHidden="0" w:name="HTML Cite"/>
    <w:lsdException w:qFormat="1" w:unhideWhenUsed="0" w:uiPriority="99" w:semiHidden="0" w:name="HTML Code"/>
    <w:lsdException w:qFormat="1" w:unhideWhenUsed="0" w:uiPriority="99" w:semiHidden="0" w:name="HTML Definition"/>
    <w:lsdException w:qFormat="1" w:unhideWhenUsed="0" w:uiPriority="99" w:semiHidden="0" w:name="HTML Keyboard"/>
    <w:lsdException w:qFormat="1" w:unhideWhenUsed="0" w:uiPriority="99" w:semiHidden="0" w:name="HTML Preformatted"/>
    <w:lsdException w:qFormat="1" w:unhideWhenUsed="0" w:uiPriority="99" w:semiHidden="0" w:name="HTML Sample"/>
    <w:lsdException w:qFormat="1" w:unhideWhenUsed="0" w:uiPriority="99" w:semiHidden="0" w:name="HTML Typewriter"/>
    <w:lsdException w:qFormat="1" w:unhideWhenUsed="0" w:uiPriority="99" w:semiHidden="0" w:name="HTML Variable"/>
    <w:lsdException w:qFormat="1" w:uiPriority="99" w:name="Normal Table"/>
    <w:lsdException w:qFormat="1" w:unhideWhenUsed="0" w:uiPriority="99" w:semiHidden="0" w:name="annotation subject"/>
    <w:lsdException w:qFormat="1" w:uiPriority="99" w:name="Table Simple 1"/>
    <w:lsdException w:qFormat="1" w:uiPriority="99" w:name="Table Simple 2"/>
    <w:lsdException w:qFormat="1" w:uiPriority="99" w:name="Table Simple 3"/>
    <w:lsdException w:qFormat="1" w:uiPriority="99" w:name="Table Classic 1"/>
    <w:lsdException w:qFormat="1" w:uiPriority="99" w:name="Table Classic 2"/>
    <w:lsdException w:qFormat="1" w:uiPriority="99" w:name="Table Classic 3"/>
    <w:lsdException w:qFormat="1" w:uiPriority="99" w:name="Table Classic 4"/>
    <w:lsdException w:qFormat="1" w:uiPriority="99" w:name="Table Colorful 1"/>
    <w:lsdException w:qFormat="1" w:uiPriority="99" w:name="Table Colorful 2"/>
    <w:lsdException w:qFormat="1" w:uiPriority="99" w:name="Table Colorful 3"/>
    <w:lsdException w:qFormat="1" w:uiPriority="99" w:name="Table Columns 1"/>
    <w:lsdException w:qFormat="1" w:uiPriority="99" w:name="Table Columns 2"/>
    <w:lsdException w:qFormat="1" w:uiPriority="99" w:name="Table Columns 3"/>
    <w:lsdException w:qFormat="1" w:uiPriority="99" w:name="Table Columns 4"/>
    <w:lsdException w:qFormat="1" w:uiPriority="99" w:name="Table Columns 5"/>
    <w:lsdException w:qFormat="1" w:uiPriority="99" w:name="Table Grid 1"/>
    <w:lsdException w:qFormat="1" w:uiPriority="99" w:name="Table Grid 2"/>
    <w:lsdException w:qFormat="1" w:uiPriority="99" w:name="Table Grid 3"/>
    <w:lsdException w:qFormat="1" w:uiPriority="99" w:name="Table Grid 4"/>
    <w:lsdException w:qFormat="1" w:uiPriority="99" w:name="Table Grid 5"/>
    <w:lsdException w:qFormat="1" w:uiPriority="99" w:name="Table Grid 6"/>
    <w:lsdException w:qFormat="1" w:uiPriority="99" w:name="Table Grid 7"/>
    <w:lsdException w:qFormat="1" w:uiPriority="99" w:name="Table Grid 8"/>
    <w:lsdException w:qFormat="1" w:uiPriority="99" w:name="Table List 1"/>
    <w:lsdException w:qFormat="1" w:uiPriority="99" w:name="Table List 2"/>
    <w:lsdException w:qFormat="1" w:uiPriority="99" w:name="Table List 3"/>
    <w:lsdException w:qFormat="1" w:uiPriority="99" w:name="Table List 4"/>
    <w:lsdException w:qFormat="1" w:uiPriority="99" w:name="Table List 5"/>
    <w:lsdException w:qFormat="1" w:uiPriority="99" w:name="Table List 6"/>
    <w:lsdException w:qFormat="1" w:uiPriority="99" w:name="Table List 7"/>
    <w:lsdException w:qFormat="1" w:uiPriority="99" w:name="Table List 8"/>
    <w:lsdException w:qFormat="1" w:uiPriority="99" w:name="Table 3D effects 1"/>
    <w:lsdException w:qFormat="1" w:uiPriority="99" w:name="Table 3D effects 2"/>
    <w:lsdException w:qFormat="1" w:uiPriority="99" w:name="Table 3D effects 3"/>
    <w:lsdException w:qFormat="1" w:uiPriority="99" w:name="Table Contemporary"/>
    <w:lsdException w:qFormat="1" w:uiPriority="99" w:name="Table Elegant"/>
    <w:lsdException w:qFormat="1" w:uiPriority="99" w:name="Table Professional"/>
    <w:lsdException w:qFormat="1" w:uiPriority="99" w:name="Table Subtle 1"/>
    <w:lsdException w:qFormat="1" w:uiPriority="99" w:name="Table Subtle 2"/>
    <w:lsdException w:qFormat="1" w:uiPriority="99" w:name="Table Web 1"/>
    <w:lsdException w:qFormat="1" w:uiPriority="99" w:name="Table Web 2"/>
    <w:lsdException w:qFormat="1" w:uiPriority="99" w:name="Table Web 3"/>
    <w:lsdException w:qFormat="1" w:unhideWhenUsed="0" w:uiPriority="99" w:semiHidden="0" w:name="Balloon Text"/>
    <w:lsdException w:qFormat="1" w:unhideWhenUsed="0" w:uiPriority="0" w:semiHidden="0" w:name="Table Grid"/>
    <w:lsdException w:qFormat="1"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adjustRightInd w:val="0"/>
    </w:pPr>
    <w:rPr>
      <w:rFonts w:ascii="Arial" w:hAnsi="Arial" w:eastAsia="宋体" w:cs="Times New Roman"/>
      <w:color w:val="000000"/>
      <w:sz w:val="24"/>
      <w:szCs w:val="24"/>
      <w:lang w:val="en-US" w:eastAsia="zh-CN" w:bidi="ar-SA"/>
    </w:rPr>
  </w:style>
  <w:style w:type="paragraph" w:styleId="5">
    <w:name w:val="heading 1"/>
    <w:basedOn w:val="1"/>
    <w:next w:val="1"/>
    <w:link w:val="20"/>
    <w:qFormat/>
    <w:uiPriority w:val="99"/>
    <w:pPr>
      <w:outlineLvl w:val="0"/>
    </w:pPr>
    <w:rPr>
      <w:b/>
      <w:sz w:val="32"/>
    </w:rPr>
  </w:style>
  <w:style w:type="paragraph" w:styleId="6">
    <w:name w:val="heading 2"/>
    <w:basedOn w:val="1"/>
    <w:next w:val="1"/>
    <w:link w:val="21"/>
    <w:qFormat/>
    <w:uiPriority w:val="99"/>
    <w:pPr>
      <w:outlineLvl w:val="1"/>
    </w:pPr>
    <w:rPr>
      <w:b/>
      <w:i/>
      <w:sz w:val="28"/>
    </w:rPr>
  </w:style>
  <w:style w:type="paragraph" w:styleId="7">
    <w:name w:val="heading 3"/>
    <w:basedOn w:val="1"/>
    <w:next w:val="1"/>
    <w:link w:val="22"/>
    <w:qFormat/>
    <w:uiPriority w:val="99"/>
    <w:pPr>
      <w:outlineLvl w:val="2"/>
    </w:pPr>
    <w:rPr>
      <w:b/>
      <w:sz w:val="26"/>
    </w:rPr>
  </w:style>
  <w:style w:type="paragraph" w:styleId="4">
    <w:name w:val="heading 4"/>
    <w:basedOn w:val="1"/>
    <w:next w:val="1"/>
    <w:link w:val="32"/>
    <w:semiHidden/>
    <w:unhideWhenUsed/>
    <w:qFormat/>
    <w:uiPriority w:val="9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link w:val="33"/>
    <w:qFormat/>
    <w:uiPriority w:val="0"/>
    <w:pPr>
      <w:autoSpaceDE/>
      <w:autoSpaceDN/>
      <w:adjustRightInd/>
      <w:spacing w:line="360" w:lineRule="auto"/>
      <w:ind w:firstLine="420" w:firstLineChars="200"/>
      <w:jc w:val="both"/>
    </w:pPr>
    <w:rPr>
      <w:rFonts w:ascii="宋体" w:hAnsi="宋体"/>
      <w:color w:val="auto"/>
    </w:rPr>
  </w:style>
  <w:style w:type="paragraph" w:styleId="3">
    <w:name w:val="Body Text First Indent 2"/>
    <w:basedOn w:val="4"/>
    <w:link w:val="31"/>
    <w:unhideWhenUsed/>
    <w:qFormat/>
    <w:uiPriority w:val="99"/>
    <w:pPr>
      <w:autoSpaceDE/>
      <w:autoSpaceDN/>
      <w:adjustRightInd/>
      <w:spacing w:before="120" w:after="120" w:line="240" w:lineRule="auto"/>
      <w:ind w:firstLine="420" w:firstLineChars="200"/>
    </w:pPr>
    <w:rPr>
      <w:rFonts w:ascii="Arial" w:hAnsi="Arial" w:eastAsia="宋体" w:cs="Times New Roman"/>
      <w:color w:val="auto"/>
      <w:kern w:val="2"/>
    </w:rPr>
  </w:style>
  <w:style w:type="paragraph" w:styleId="8">
    <w:name w:val="annotation text"/>
    <w:basedOn w:val="1"/>
    <w:qFormat/>
    <w:uiPriority w:val="99"/>
    <w:pPr>
      <w:jc w:val="left"/>
    </w:pPr>
  </w:style>
  <w:style w:type="paragraph" w:styleId="9">
    <w:name w:val="Body Text Indent"/>
    <w:basedOn w:val="1"/>
    <w:link w:val="30"/>
    <w:qFormat/>
    <w:uiPriority w:val="99"/>
    <w:pPr>
      <w:spacing w:after="120"/>
      <w:ind w:left="420" w:leftChars="200"/>
    </w:pPr>
  </w:style>
  <w:style w:type="paragraph" w:styleId="10">
    <w:name w:val="Balloon Text"/>
    <w:basedOn w:val="1"/>
    <w:link w:val="26"/>
    <w:qFormat/>
    <w:uiPriority w:val="99"/>
    <w:rPr>
      <w:sz w:val="18"/>
      <w:szCs w:val="18"/>
    </w:rPr>
  </w:style>
  <w:style w:type="paragraph" w:styleId="11">
    <w:name w:val="footer"/>
    <w:basedOn w:val="1"/>
    <w:link w:val="24"/>
    <w:qFormat/>
    <w:uiPriority w:val="99"/>
    <w:pPr>
      <w:tabs>
        <w:tab w:val="center" w:pos="4153"/>
        <w:tab w:val="right" w:pos="8306"/>
      </w:tabs>
      <w:snapToGrid w:val="0"/>
    </w:pPr>
    <w:rPr>
      <w:sz w:val="18"/>
      <w:szCs w:val="18"/>
    </w:rPr>
  </w:style>
  <w:style w:type="paragraph" w:styleId="12">
    <w:name w:val="header"/>
    <w:basedOn w:val="1"/>
    <w:link w:val="23"/>
    <w:qFormat/>
    <w:uiPriority w:val="0"/>
    <w:pPr>
      <w:pBdr>
        <w:bottom w:val="single" w:color="auto" w:sz="6" w:space="1"/>
      </w:pBdr>
      <w:tabs>
        <w:tab w:val="center" w:pos="4153"/>
        <w:tab w:val="right" w:pos="8306"/>
      </w:tabs>
      <w:snapToGrid w:val="0"/>
      <w:jc w:val="center"/>
    </w:pPr>
    <w:rPr>
      <w:sz w:val="18"/>
      <w:szCs w:val="18"/>
    </w:rPr>
  </w:style>
  <w:style w:type="paragraph" w:styleId="13">
    <w:name w:val="List"/>
    <w:basedOn w:val="1"/>
    <w:qFormat/>
    <w:uiPriority w:val="0"/>
    <w:pPr>
      <w:spacing w:line="320" w:lineRule="exact"/>
      <w:ind w:firstLine="0" w:firstLineChars="0"/>
      <w:jc w:val="center"/>
    </w:pPr>
    <w:rPr>
      <w:sz w:val="22"/>
    </w:rPr>
  </w:style>
  <w:style w:type="paragraph" w:styleId="14">
    <w:name w:val="Title"/>
    <w:basedOn w:val="1"/>
    <w:next w:val="1"/>
    <w:qFormat/>
    <w:uiPriority w:val="0"/>
    <w:pPr>
      <w:spacing w:line="360" w:lineRule="auto"/>
      <w:jc w:val="left"/>
      <w:outlineLvl w:val="1"/>
    </w:pPr>
    <w:rPr>
      <w:b/>
      <w:bCs/>
      <w:sz w:val="24"/>
      <w:szCs w:val="32"/>
      <w:lang w:val="zh-CN"/>
    </w:rPr>
  </w:style>
  <w:style w:type="table" w:styleId="16">
    <w:name w:val="Table Grid"/>
    <w:basedOn w:val="1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page number"/>
    <w:basedOn w:val="17"/>
    <w:qFormat/>
    <w:uiPriority w:val="0"/>
  </w:style>
  <w:style w:type="character" w:styleId="19">
    <w:name w:val="Hyperlink"/>
    <w:qFormat/>
    <w:uiPriority w:val="99"/>
    <w:rPr>
      <w:color w:val="0000FF"/>
      <w:u w:val="single"/>
    </w:rPr>
  </w:style>
  <w:style w:type="character" w:customStyle="1" w:styleId="20">
    <w:name w:val="标题 1 Char"/>
    <w:basedOn w:val="17"/>
    <w:link w:val="5"/>
    <w:qFormat/>
    <w:locked/>
    <w:uiPriority w:val="9"/>
    <w:rPr>
      <w:rFonts w:ascii="Arial" w:hAnsi="Arial" w:cs="Times New Roman"/>
      <w:b/>
      <w:bCs/>
      <w:color w:val="000000"/>
      <w:kern w:val="44"/>
      <w:sz w:val="44"/>
      <w:szCs w:val="44"/>
    </w:rPr>
  </w:style>
  <w:style w:type="character" w:customStyle="1" w:styleId="21">
    <w:name w:val="标题 2 Char"/>
    <w:basedOn w:val="17"/>
    <w:link w:val="6"/>
    <w:semiHidden/>
    <w:qFormat/>
    <w:locked/>
    <w:uiPriority w:val="9"/>
    <w:rPr>
      <w:rFonts w:cs="Times New Roman" w:asciiTheme="majorHAnsi" w:hAnsiTheme="majorHAnsi" w:eastAsiaTheme="majorEastAsia"/>
      <w:b/>
      <w:bCs/>
      <w:color w:val="000000"/>
      <w:kern w:val="0"/>
      <w:sz w:val="32"/>
      <w:szCs w:val="32"/>
    </w:rPr>
  </w:style>
  <w:style w:type="character" w:customStyle="1" w:styleId="22">
    <w:name w:val="标题 3 Char"/>
    <w:basedOn w:val="17"/>
    <w:link w:val="7"/>
    <w:semiHidden/>
    <w:qFormat/>
    <w:locked/>
    <w:uiPriority w:val="9"/>
    <w:rPr>
      <w:rFonts w:ascii="Arial" w:hAnsi="Arial" w:cs="Times New Roman"/>
      <w:b/>
      <w:bCs/>
      <w:color w:val="000000"/>
      <w:kern w:val="0"/>
      <w:sz w:val="32"/>
      <w:szCs w:val="32"/>
    </w:rPr>
  </w:style>
  <w:style w:type="character" w:customStyle="1" w:styleId="23">
    <w:name w:val="页眉 Char"/>
    <w:basedOn w:val="17"/>
    <w:link w:val="12"/>
    <w:qFormat/>
    <w:locked/>
    <w:uiPriority w:val="99"/>
    <w:rPr>
      <w:rFonts w:ascii="Arial" w:hAnsi="Arial" w:cs="Times New Roman"/>
      <w:color w:val="000000"/>
      <w:kern w:val="0"/>
      <w:sz w:val="18"/>
      <w:szCs w:val="18"/>
    </w:rPr>
  </w:style>
  <w:style w:type="character" w:customStyle="1" w:styleId="24">
    <w:name w:val="页脚 Char"/>
    <w:basedOn w:val="17"/>
    <w:link w:val="11"/>
    <w:qFormat/>
    <w:locked/>
    <w:uiPriority w:val="99"/>
    <w:rPr>
      <w:rFonts w:ascii="Arial" w:hAnsi="Arial" w:cs="Times New Roman"/>
      <w:color w:val="000000"/>
      <w:kern w:val="0"/>
      <w:sz w:val="18"/>
      <w:szCs w:val="18"/>
    </w:rPr>
  </w:style>
  <w:style w:type="paragraph" w:customStyle="1" w:styleId="25">
    <w:name w:val="样式17"/>
    <w:basedOn w:val="1"/>
    <w:qFormat/>
    <w:uiPriority w:val="0"/>
    <w:pPr>
      <w:autoSpaceDE/>
      <w:autoSpaceDN/>
      <w:adjustRightInd/>
      <w:spacing w:line="360" w:lineRule="auto"/>
      <w:ind w:firstLine="480" w:firstLineChars="200"/>
      <w:jc w:val="both"/>
    </w:pPr>
    <w:rPr>
      <w:rFonts w:cs="Arial"/>
      <w:color w:val="auto"/>
      <w:kern w:val="2"/>
    </w:rPr>
  </w:style>
  <w:style w:type="character" w:customStyle="1" w:styleId="26">
    <w:name w:val="批注框文本 Char"/>
    <w:basedOn w:val="17"/>
    <w:link w:val="10"/>
    <w:qFormat/>
    <w:uiPriority w:val="99"/>
    <w:rPr>
      <w:rFonts w:ascii="Arial" w:hAnsi="Arial"/>
      <w:color w:val="000000"/>
      <w:kern w:val="0"/>
      <w:sz w:val="18"/>
      <w:szCs w:val="18"/>
    </w:rPr>
  </w:style>
  <w:style w:type="paragraph" w:styleId="27">
    <w:name w:val="List Paragraph"/>
    <w:basedOn w:val="1"/>
    <w:qFormat/>
    <w:uiPriority w:val="99"/>
    <w:pPr>
      <w:ind w:firstLine="420" w:firstLineChars="200"/>
    </w:pPr>
  </w:style>
  <w:style w:type="paragraph" w:styleId="28">
    <w:name w:val="No Spacing"/>
    <w:link w:val="29"/>
    <w:qFormat/>
    <w:uiPriority w:val="1"/>
    <w:rPr>
      <w:rFonts w:asciiTheme="minorHAnsi" w:hAnsiTheme="minorHAnsi" w:eastAsiaTheme="minorEastAsia" w:cstheme="minorBidi"/>
      <w:sz w:val="22"/>
      <w:szCs w:val="22"/>
      <w:lang w:val="en-US" w:eastAsia="zh-CN" w:bidi="ar-SA"/>
    </w:rPr>
  </w:style>
  <w:style w:type="character" w:customStyle="1" w:styleId="29">
    <w:name w:val="无间隔 Char"/>
    <w:basedOn w:val="17"/>
    <w:link w:val="28"/>
    <w:qFormat/>
    <w:uiPriority w:val="1"/>
    <w:rPr>
      <w:rFonts w:asciiTheme="minorHAnsi" w:hAnsiTheme="minorHAnsi" w:eastAsiaTheme="minorEastAsia" w:cstheme="minorBidi"/>
      <w:sz w:val="22"/>
      <w:szCs w:val="22"/>
    </w:rPr>
  </w:style>
  <w:style w:type="character" w:customStyle="1" w:styleId="30">
    <w:name w:val="正文文本缩进 Char"/>
    <w:basedOn w:val="17"/>
    <w:link w:val="9"/>
    <w:qFormat/>
    <w:uiPriority w:val="99"/>
    <w:rPr>
      <w:rFonts w:ascii="Arial" w:hAnsi="Arial"/>
      <w:color w:val="000000"/>
      <w:sz w:val="24"/>
      <w:szCs w:val="24"/>
    </w:rPr>
  </w:style>
  <w:style w:type="character" w:customStyle="1" w:styleId="31">
    <w:name w:val="正文首行缩进 2 Char"/>
    <w:basedOn w:val="30"/>
    <w:link w:val="3"/>
    <w:qFormat/>
    <w:uiPriority w:val="99"/>
    <w:rPr>
      <w:rFonts w:ascii="Arial" w:hAnsi="Arial"/>
      <w:b/>
      <w:bCs/>
      <w:color w:val="000000"/>
      <w:kern w:val="2"/>
      <w:sz w:val="28"/>
      <w:szCs w:val="28"/>
    </w:rPr>
  </w:style>
  <w:style w:type="character" w:customStyle="1" w:styleId="32">
    <w:name w:val="标题 4 Char"/>
    <w:basedOn w:val="17"/>
    <w:link w:val="4"/>
    <w:semiHidden/>
    <w:qFormat/>
    <w:uiPriority w:val="99"/>
    <w:rPr>
      <w:rFonts w:asciiTheme="majorHAnsi" w:hAnsiTheme="majorHAnsi" w:eastAsiaTheme="majorEastAsia" w:cstheme="majorBidi"/>
      <w:b/>
      <w:bCs/>
      <w:color w:val="000000"/>
      <w:sz w:val="28"/>
      <w:szCs w:val="28"/>
    </w:rPr>
  </w:style>
  <w:style w:type="character" w:customStyle="1" w:styleId="33">
    <w:name w:val="正文缩进 Char"/>
    <w:link w:val="2"/>
    <w:qFormat/>
    <w:uiPriority w:val="0"/>
    <w:rPr>
      <w:rFonts w:ascii="宋体" w:hAnsi="宋体"/>
      <w:sz w:val="24"/>
      <w:szCs w:val="24"/>
    </w:rPr>
  </w:style>
  <w:style w:type="character" w:customStyle="1" w:styleId="34">
    <w:name w:val="font01"/>
    <w:qFormat/>
    <w:uiPriority w:val="0"/>
    <w:rPr>
      <w:rFonts w:hint="eastAsia" w:ascii="宋体" w:hAnsi="宋体" w:eastAsia="宋体" w:cs="宋体"/>
      <w:b/>
      <w:color w:val="000000"/>
      <w:sz w:val="18"/>
      <w:szCs w:val="18"/>
      <w:u w:val="none"/>
    </w:rPr>
  </w:style>
  <w:style w:type="paragraph" w:customStyle="1" w:styleId="35">
    <w:name w:val="样式1"/>
    <w:basedOn w:val="9"/>
    <w:qFormat/>
    <w:uiPriority w:val="0"/>
    <w:pPr>
      <w:tabs>
        <w:tab w:val="right" w:leader="dot" w:pos="9072"/>
      </w:tabs>
      <w:ind w:firstLine="480" w:firstLineChars="200"/>
    </w:pPr>
  </w:style>
  <w:style w:type="paragraph" w:customStyle="1" w:styleId="36">
    <w:name w:val="表4.3-1"/>
    <w:basedOn w:val="1"/>
    <w:qFormat/>
    <w:uiPriority w:val="0"/>
    <w:pPr>
      <w:numPr>
        <w:ilvl w:val="0"/>
        <w:numId w:val="1"/>
      </w:numPr>
      <w:jc w:val="center"/>
    </w:pPr>
    <w:rPr>
      <w:b/>
      <w:kern w:val="0"/>
      <w:szCs w:val="21"/>
    </w:rPr>
  </w:style>
  <w:style w:type="paragraph" w:customStyle="1" w:styleId="37">
    <w:name w:val="正文2"/>
    <w:basedOn w:val="1"/>
    <w:qFormat/>
    <w:uiPriority w:val="0"/>
    <w:pPr>
      <w:adjustRightInd w:val="0"/>
      <w:snapToGrid w:val="0"/>
      <w:spacing w:line="440" w:lineRule="atLeast"/>
      <w:ind w:firstLine="567"/>
    </w:pPr>
    <w:rPr>
      <w:sz w:val="24"/>
      <w:szCs w:val="20"/>
    </w:rPr>
  </w:style>
  <w:style w:type="paragraph" w:customStyle="1" w:styleId="38">
    <w:name w:val="正文文本2"/>
    <w:basedOn w:val="1"/>
    <w:qFormat/>
    <w:uiPriority w:val="0"/>
    <w:pPr>
      <w:shd w:val="clear" w:color="auto" w:fill="FFFFFF"/>
      <w:spacing w:after="240" w:line="0" w:lineRule="atLeast"/>
      <w:jc w:val="center"/>
    </w:pPr>
    <w:rPr>
      <w:rFonts w:ascii="宋体" w:hAnsi="宋体" w:eastAsia="宋体" w:cs="宋体"/>
      <w:sz w:val="23"/>
      <w:szCs w:val="23"/>
    </w:rPr>
  </w:style>
  <w:style w:type="paragraph" w:customStyle="1" w:styleId="39">
    <w:name w:val="表格内容"/>
    <w:basedOn w:val="1"/>
    <w:qFormat/>
    <w:uiPriority w:val="0"/>
    <w:pPr>
      <w:jc w:val="center"/>
    </w:pPr>
    <w:rPr>
      <w:rFonts w:eastAsia="楷体_GB2312"/>
      <w:sz w:val="24"/>
    </w:rPr>
  </w:style>
  <w:style w:type="paragraph" w:customStyle="1" w:styleId="40">
    <w:name w:val="表3.3-1"/>
    <w:basedOn w:val="1"/>
    <w:qFormat/>
    <w:uiPriority w:val="0"/>
    <w:pPr>
      <w:adjustRightInd w:val="0"/>
      <w:snapToGrid w:val="0"/>
      <w:jc w:val="center"/>
    </w:pPr>
    <w:rPr>
      <w:b/>
      <w:kern w:val="0"/>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customXml" Target="../customXml/item2.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emf"/><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emf"/><Relationship Id="rId12" Type="http://schemas.openxmlformats.org/officeDocument/2006/relationships/oleObject" Target="embeddings/oleObject1.bin"/><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0F19315-8E7A-4C6B-A0FE-797C1EAFD21E}">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23</Pages>
  <Words>3976</Words>
  <Characters>1373</Characters>
  <Lines>11</Lines>
  <Paragraphs>10</Paragraphs>
  <TotalTime>8</TotalTime>
  <ScaleCrop>false</ScaleCrop>
  <LinksUpToDate>false</LinksUpToDate>
  <CharactersWithSpaces>5339</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2019-11-25T05:00:00Z</dcterms:created>
  <dc:creator>pc1</dc:creator>
  <cp:lastModifiedBy>lichangping</cp:lastModifiedBy>
  <cp:lastPrinted>2019-11-28T08:04:00Z</cp:lastPrinted>
  <dcterms:modified xsi:type="dcterms:W3CDTF">2020-09-01T08:20:43Z</dcterms:modified>
  <cp:revision>111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